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EDC11C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F10085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03AF7D9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1112D5">
        <w:rPr>
          <w:rFonts w:ascii="Arial" w:hAnsi="Arial" w:cs="Arial"/>
          <w:i w:val="0"/>
          <w:szCs w:val="24"/>
          <w:u w:val="single"/>
        </w:rPr>
        <w:t>3</w:t>
      </w:r>
      <w:r w:rsidR="00F10085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64EC7A9" w14:textId="4428ED1D" w:rsidR="00F10085" w:rsidRDefault="00F10085" w:rsidP="00F10085">
      <w:pPr>
        <w:spacing w:before="240" w:after="160"/>
        <w:ind w:left="3686"/>
        <w:jc w:val="both"/>
        <w:rPr>
          <w:rFonts w:ascii="Arial" w:eastAsia="Arial" w:hAnsi="Arial" w:cs="Arial"/>
          <w:b w:val="0"/>
          <w:bCs/>
          <w:i w:val="0"/>
          <w:sz w:val="22"/>
          <w:szCs w:val="22"/>
        </w:rPr>
      </w:pPr>
      <w:r w:rsidRPr="00F10085">
        <w:rPr>
          <w:rFonts w:ascii="Arial" w:eastAsia="Arial" w:hAnsi="Arial" w:cs="Arial"/>
          <w:b w:val="0"/>
          <w:bCs/>
          <w:i w:val="0"/>
          <w:sz w:val="22"/>
          <w:szCs w:val="22"/>
        </w:rPr>
        <w:t xml:space="preserve">Altera o anexo de síntese de atribuições e padrão salarial do cargo de provimento efetivo de Agente Administrativo, constante nas categorias funcionais do Quadro de Cargos de provimento efetivo no Art. 3º da Lei Municipal </w:t>
      </w:r>
      <w:hyperlink r:id="rId8">
        <w:r w:rsidRPr="00F10085">
          <w:rPr>
            <w:rFonts w:ascii="Arial" w:eastAsia="Arial" w:hAnsi="Arial" w:cs="Arial"/>
            <w:b w:val="0"/>
            <w:bCs/>
            <w:i w:val="0"/>
            <w:sz w:val="22"/>
            <w:szCs w:val="22"/>
          </w:rPr>
          <w:t>3.034</w:t>
        </w:r>
      </w:hyperlink>
      <w:r w:rsidRPr="00F10085">
        <w:rPr>
          <w:rFonts w:ascii="Arial" w:eastAsia="Arial" w:hAnsi="Arial" w:cs="Arial"/>
          <w:b w:val="0"/>
          <w:bCs/>
          <w:i w:val="0"/>
          <w:sz w:val="22"/>
          <w:szCs w:val="22"/>
        </w:rPr>
        <w:t>/2006</w:t>
      </w:r>
    </w:p>
    <w:p w14:paraId="0D76C151" w14:textId="77777777" w:rsidR="00F10085" w:rsidRPr="00F10085" w:rsidRDefault="00F10085" w:rsidP="00F10085">
      <w:pPr>
        <w:spacing w:before="240" w:after="160"/>
        <w:ind w:left="3686"/>
        <w:jc w:val="both"/>
        <w:rPr>
          <w:rFonts w:ascii="Arial" w:eastAsia="Arial" w:hAnsi="Arial" w:cs="Arial"/>
          <w:b w:val="0"/>
          <w:bCs/>
          <w:i w:val="0"/>
          <w:sz w:val="22"/>
          <w:szCs w:val="22"/>
        </w:rPr>
      </w:pPr>
    </w:p>
    <w:p w14:paraId="074E63A2" w14:textId="77777777" w:rsidR="00F10085" w:rsidRPr="00F10085" w:rsidRDefault="00F10085" w:rsidP="00F10085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F10085">
        <w:rPr>
          <w:rFonts w:ascii="Arial" w:eastAsia="Arial" w:hAnsi="Arial" w:cs="Arial"/>
          <w:bCs/>
          <w:iCs/>
          <w:szCs w:val="24"/>
          <w:highlight w:val="white"/>
        </w:rPr>
        <w:t>EDMILSON BUSATTO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, Prefeito Municipal de Bom Retiro do Sul Estado do Rio Grande do Sul, em cumprimento ao disposto no Art. 58 da </w:t>
      </w:r>
      <w:hyperlink r:id="rId9">
        <w:r w:rsidRPr="00F10085">
          <w:rPr>
            <w:rFonts w:ascii="Arial" w:eastAsia="Arial" w:hAnsi="Arial" w:cs="Arial"/>
            <w:b w:val="0"/>
            <w:i w:val="0"/>
            <w:szCs w:val="24"/>
            <w:highlight w:val="white"/>
          </w:rPr>
          <w:t>Lei Orgânica</w:t>
        </w:r>
      </w:hyperlink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 do Município, FAÇO SABER que o Poder Legislativo aprovou e eu sanciono e promulgo a seguinte Lei:</w:t>
      </w:r>
    </w:p>
    <w:p w14:paraId="6550EB08" w14:textId="77777777" w:rsidR="00F10085" w:rsidRPr="00F10085" w:rsidRDefault="00F10085" w:rsidP="00F10085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</w:rPr>
      </w:pPr>
      <w:r w:rsidRPr="00F10085">
        <w:rPr>
          <w:rFonts w:ascii="Arial" w:eastAsia="Arial" w:hAnsi="Arial" w:cs="Arial"/>
          <w:i w:val="0"/>
          <w:szCs w:val="24"/>
        </w:rPr>
        <w:t>Art. 1º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Altera as atribuições do cargo efetivo de Agente Administrativo constante no Anexo de Síntese de Atribuições da Lei Municipal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</w:t>
      </w:r>
      <w:hyperlink r:id="rId10">
        <w:r w:rsidRPr="00F10085">
          <w:rPr>
            <w:rFonts w:ascii="Arial" w:eastAsia="Arial" w:hAnsi="Arial" w:cs="Arial"/>
            <w:b w:val="0"/>
            <w:i w:val="0"/>
            <w:szCs w:val="24"/>
            <w:highlight w:val="white"/>
          </w:rPr>
          <w:t>3.034</w:t>
        </w:r>
      </w:hyperlink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/2006, a qual passa a ser aquela constante do Anexo </w:t>
      </w:r>
      <w:proofErr w:type="spellStart"/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a</w:t>
      </w:r>
      <w:proofErr w:type="spellEnd"/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presente Lei.</w:t>
      </w:r>
    </w:p>
    <w:p w14:paraId="6C55800C" w14:textId="77777777" w:rsidR="00F10085" w:rsidRPr="00F10085" w:rsidRDefault="00F10085" w:rsidP="00F10085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bookmarkStart w:id="0" w:name="_gjdgxs" w:colFirst="0" w:colLast="0"/>
      <w:bookmarkEnd w:id="0"/>
      <w:r w:rsidRPr="00F10085">
        <w:rPr>
          <w:rFonts w:ascii="Arial" w:eastAsia="Arial" w:hAnsi="Arial" w:cs="Arial"/>
          <w:i w:val="0"/>
          <w:szCs w:val="24"/>
          <w:highlight w:val="white"/>
        </w:rPr>
        <w:t>Art. 2º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Fica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altera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do de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Padrão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12 para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Padrão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14, o padrão salarial do cargo de provimento efetivo de Agente Administrativo, conforme estabelece a tabela de cargos e salários constante no Art. 3º da Lei Municipal nº</w:t>
      </w:r>
      <w:r w:rsidRPr="00F10085">
        <w:rPr>
          <w:rFonts w:ascii="Arial" w:eastAsia="Arial" w:hAnsi="Arial" w:cs="Arial"/>
          <w:b w:val="0"/>
          <w:i w:val="0"/>
          <w:szCs w:val="24"/>
        </w:rPr>
        <w:t xml:space="preserve"> </w:t>
      </w:r>
      <w:hyperlink r:id="rId11">
        <w:r w:rsidRPr="00F10085">
          <w:rPr>
            <w:rFonts w:ascii="Arial" w:eastAsia="Arial" w:hAnsi="Arial" w:cs="Arial"/>
            <w:b w:val="0"/>
            <w:i w:val="0"/>
            <w:szCs w:val="24"/>
            <w:highlight w:val="white"/>
          </w:rPr>
          <w:t>3034</w:t>
        </w:r>
      </w:hyperlink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>/2006, de 22 de dezembro de 2006, que institui o Plano de Carreira dos Servidores Municipais de Bom Retiro do Sul;</w:t>
      </w:r>
    </w:p>
    <w:p w14:paraId="271E4D03" w14:textId="77777777" w:rsidR="00F10085" w:rsidRPr="00F10085" w:rsidRDefault="00F10085" w:rsidP="00F10085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F10085">
        <w:rPr>
          <w:rFonts w:ascii="Arial" w:eastAsia="Arial" w:hAnsi="Arial" w:cs="Arial"/>
          <w:i w:val="0"/>
          <w:szCs w:val="24"/>
          <w:highlight w:val="white"/>
        </w:rPr>
        <w:t>Art. 3º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As despesas decorrentes da aplicação desta Lei, correrão por conta de dotação orçamentária específica.</w:t>
      </w:r>
    </w:p>
    <w:p w14:paraId="507D4148" w14:textId="77777777" w:rsidR="00F10085" w:rsidRPr="00F10085" w:rsidRDefault="00F10085" w:rsidP="00F10085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F10085">
        <w:rPr>
          <w:rFonts w:ascii="Arial" w:eastAsia="Arial" w:hAnsi="Arial" w:cs="Arial"/>
          <w:i w:val="0"/>
          <w:szCs w:val="24"/>
          <w:highlight w:val="white"/>
        </w:rPr>
        <w:t>Art. 4º</w:t>
      </w:r>
      <w:r w:rsidRPr="00F10085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Esta Lei entra em vigor na data de sua publicação.</w:t>
      </w:r>
    </w:p>
    <w:p w14:paraId="39AA8F21" w14:textId="77777777" w:rsidR="005B1F19" w:rsidRDefault="005B1F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4D053E5B" w14:textId="77777777" w:rsidR="005B1F19" w:rsidRDefault="005B1F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5D4AA9B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B1F19">
        <w:rPr>
          <w:rFonts w:ascii="Arial" w:hAnsi="Arial" w:cs="Arial"/>
          <w:b w:val="0"/>
          <w:i w:val="0"/>
          <w:szCs w:val="24"/>
        </w:rPr>
        <w:t>03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5B1F19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6173A6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48D48D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27B220B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D46CD1B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8398C69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B2060FC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F88D9A2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C4A9621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3EB4227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C916DFD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595AC7" w14:textId="77777777" w:rsidR="00F10085" w:rsidRDefault="00F1008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7C41FC" w14:textId="77777777" w:rsidR="00F10085" w:rsidRDefault="00F1008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E6735E1" w14:textId="77777777" w:rsidR="00F10085" w:rsidRPr="00F10085" w:rsidRDefault="00F10085" w:rsidP="00F10085">
      <w:pPr>
        <w:spacing w:before="240" w:after="160"/>
        <w:jc w:val="center"/>
        <w:rPr>
          <w:rFonts w:ascii="Arial" w:eastAsia="Arial" w:hAnsi="Arial" w:cs="Arial"/>
          <w:bCs/>
          <w:i w:val="0"/>
          <w:sz w:val="20"/>
          <w:highlight w:val="white"/>
        </w:rPr>
      </w:pPr>
      <w:r w:rsidRPr="00F10085">
        <w:rPr>
          <w:rFonts w:ascii="Arial" w:eastAsia="Arial" w:hAnsi="Arial" w:cs="Arial"/>
          <w:bCs/>
          <w:i w:val="0"/>
          <w:sz w:val="20"/>
          <w:highlight w:val="white"/>
        </w:rPr>
        <w:lastRenderedPageBreak/>
        <w:t>ANEXO DE SINTESE DE ATRIBUIÇÕES</w:t>
      </w:r>
    </w:p>
    <w:p w14:paraId="088AF0B4" w14:textId="77777777" w:rsidR="00F10085" w:rsidRPr="00F10085" w:rsidRDefault="00F10085" w:rsidP="00F10085">
      <w:pPr>
        <w:spacing w:before="240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CATEGORIA FUNCIONAL: AGENTE ADMINISTRATIVO</w:t>
      </w:r>
    </w:p>
    <w:p w14:paraId="5540D586" w14:textId="77777777" w:rsidR="00F10085" w:rsidRPr="00F10085" w:rsidRDefault="00F10085" w:rsidP="00F10085">
      <w:pPr>
        <w:spacing w:before="240"/>
        <w:rPr>
          <w:rFonts w:ascii="Arial" w:eastAsia="Arial" w:hAnsi="Arial" w:cs="Arial"/>
          <w:b w:val="0"/>
          <w:i w:val="0"/>
          <w:strike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PADRÃO DE VENCIMENTO:  14</w:t>
      </w:r>
    </w:p>
    <w:p w14:paraId="334C4EFF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ATRIBUIÇÕES:</w:t>
      </w:r>
    </w:p>
    <w:p w14:paraId="117F53E6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shd w:val="clear" w:color="auto" w:fill="F6F7F8"/>
        </w:rPr>
      </w:pPr>
      <w:r w:rsidRPr="00F10085">
        <w:rPr>
          <w:rFonts w:ascii="Arial" w:eastAsia="Arial" w:hAnsi="Arial" w:cs="Arial"/>
          <w:i w:val="0"/>
          <w:sz w:val="20"/>
          <w:highlight w:val="white"/>
        </w:rPr>
        <w:t>a) Descrição Sintética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: Realizar atividades de apoio técnico administrativo, executar trabalhos que envolvam a interpretação e aplicação das leis e normas administrativas, redigir expedientes administrativos;</w:t>
      </w:r>
    </w:p>
    <w:p w14:paraId="5CC24810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</w:rPr>
      </w:pPr>
      <w:r w:rsidRPr="00F10085">
        <w:rPr>
          <w:rFonts w:ascii="Arial" w:eastAsia="Arial" w:hAnsi="Arial" w:cs="Arial"/>
          <w:i w:val="0"/>
          <w:sz w:val="20"/>
          <w:highlight w:val="white"/>
        </w:rPr>
        <w:t>b) Descrição Analítica: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 xml:space="preserve"> Realizar atividades de apoio técnico administrativo, executar trabalhos que envolvam a interpretação e aplicação das leis e normas administrativas, </w:t>
      </w:r>
      <w:r w:rsidRPr="00F10085">
        <w:rPr>
          <w:rFonts w:ascii="Arial" w:eastAsia="Arial" w:hAnsi="Arial" w:cs="Arial"/>
          <w:b w:val="0"/>
          <w:i w:val="0"/>
          <w:sz w:val="20"/>
        </w:rPr>
        <w:t xml:space="preserve">envolvendo a apresentação de solução nas ocorrências de sua competência, abrangendo planejamento em grau auxiliar e pesquisas preliminares realizadas sob supervisão indireta, predominantemente técnica, visando à implementação das leis, regulamentos e normas referentes à administração pública municipal; supervisão dos trabalhos que envolvam a aplicação das técnicas de pessoal, orçamento, organização, métodos e materiais executados por equipes auxiliares. 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 xml:space="preserve">Realizar tarefas administrativas e de apoio à gestão de projetos e ações nas áreas administrativas, ajudando a manter a eficiência e a organização nos diferentes setores e departamentos da administração pública municipal, examinar processos, redigir pareceres e relatórios; redigir expedientes administrativos, tais como, memorandos, cartas, ofícios, certidão </w:t>
      </w:r>
      <w:proofErr w:type="spellStart"/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narratória</w:t>
      </w:r>
      <w:proofErr w:type="spellEnd"/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, certidão negativa de débitos e outros expedientes; Redigir e revisar quanto ao aspecto redacional, ordens de serviço, instruções normativas, exposições de motivos, projetos de lei, minutas de decreto, portarias e outros; Realizar e conferir cálculos relativos a lançamentos, alterações de tributos, avaliação de imóveis, vantagens financeiras e descontos determinados por lei;</w:t>
      </w:r>
      <w:r w:rsidRPr="00F10085">
        <w:rPr>
          <w:rFonts w:ascii="Arial" w:eastAsia="Arial" w:hAnsi="Arial" w:cs="Arial"/>
          <w:b w:val="0"/>
          <w:i w:val="0"/>
          <w:sz w:val="20"/>
        </w:rPr>
        <w:t xml:space="preserve"> Realizar o controle de contas a pagar, enviar documentos para o setor contábil, bem como controlar as compras de insumos da instituição, e elaborar relatórios financeiros; 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 xml:space="preserve">Realizar ou orientar coleta de preços de materiais a serem adquiridos pela administração pública municipal; efetuar ou orientar o recebimento, conferência, armazenamento e conservação de materiais e outros suprimentos; manter atualizados os registros de controle de estoque; </w:t>
      </w:r>
      <w:r w:rsidRPr="00F10085">
        <w:rPr>
          <w:rFonts w:ascii="Arial" w:eastAsia="Arial" w:hAnsi="Arial" w:cs="Arial"/>
          <w:b w:val="0"/>
          <w:i w:val="0"/>
          <w:sz w:val="20"/>
        </w:rPr>
        <w:t>Auxiliar na gestão de recursos materiais e patrimoniais, como controle de estoques, manutenção e conservação de equipamentos e instalações;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 xml:space="preserve"> elaborando ou orientando levantamentos de bens patrimoniais; Operar com terminais eletrônicos</w:t>
      </w:r>
      <w:r w:rsidRPr="00F10085">
        <w:rPr>
          <w:rFonts w:ascii="Arial" w:eastAsia="Arial" w:hAnsi="Arial" w:cs="Arial"/>
          <w:b w:val="0"/>
          <w:i w:val="0"/>
          <w:sz w:val="20"/>
        </w:rPr>
        <w:t xml:space="preserve">; 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Gerenciamento de documentos oficiais, supervisionar o arquivamento de documentos oficiais, elaboração e atualização de planilhas, controle de gastos, e outros;</w:t>
      </w:r>
      <w:r w:rsidRPr="00F10085">
        <w:rPr>
          <w:rFonts w:ascii="Arial" w:eastAsia="Arial" w:hAnsi="Arial" w:cs="Arial"/>
          <w:b w:val="0"/>
          <w:i w:val="0"/>
          <w:sz w:val="20"/>
        </w:rPr>
        <w:t xml:space="preserve"> </w:t>
      </w: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Atuar na gestão de contratos, apoio na preparação de processos de compras e licitações, bem como na execução das atividades relacionadas à gestão de pessoas, como controle de ponto e frequência, agendamento de férias e organização de treinamentos</w:t>
      </w:r>
      <w:r w:rsidRPr="00F10085">
        <w:rPr>
          <w:rFonts w:ascii="Arial" w:eastAsia="Arial" w:hAnsi="Arial" w:cs="Arial"/>
          <w:b w:val="0"/>
          <w:i w:val="0"/>
          <w:sz w:val="20"/>
        </w:rPr>
        <w:t>, processos seletivos e demais questões administrativas relativas às rotinas de pessoal;</w:t>
      </w:r>
    </w:p>
    <w:p w14:paraId="24537FC8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 xml:space="preserve">CONDIÇÕES DE TRABALHO:  </w:t>
      </w:r>
    </w:p>
    <w:p w14:paraId="3259D9B3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a) Geral: Carga horária semanal de 40 horas;</w:t>
      </w:r>
    </w:p>
    <w:p w14:paraId="3C016ACA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b) Especial: O exercício do cargo poderá exigir atendimento ao público.</w:t>
      </w:r>
    </w:p>
    <w:p w14:paraId="1D6A9B28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REQUISITOS PARA PROVIMENTO:</w:t>
      </w:r>
    </w:p>
    <w:p w14:paraId="1DCF03DB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</w:rPr>
      </w:pPr>
      <w:r w:rsidRPr="00F10085">
        <w:rPr>
          <w:rFonts w:ascii="Arial" w:eastAsia="Arial" w:hAnsi="Arial" w:cs="Arial"/>
          <w:b w:val="0"/>
          <w:i w:val="0"/>
          <w:sz w:val="20"/>
        </w:rPr>
        <w:t>a) Concurso Público</w:t>
      </w:r>
    </w:p>
    <w:p w14:paraId="29D3B67C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  <w:highlight w:val="white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b) Idade: Mínima de 18 anos</w:t>
      </w:r>
    </w:p>
    <w:p w14:paraId="3A0C894A" w14:textId="77777777" w:rsidR="00F10085" w:rsidRPr="00F10085" w:rsidRDefault="00F10085" w:rsidP="00F10085">
      <w:pPr>
        <w:spacing w:before="240"/>
        <w:jc w:val="both"/>
        <w:rPr>
          <w:rFonts w:ascii="Arial" w:eastAsia="Arial" w:hAnsi="Arial" w:cs="Arial"/>
          <w:b w:val="0"/>
          <w:i w:val="0"/>
          <w:sz w:val="20"/>
        </w:rPr>
      </w:pPr>
      <w:r w:rsidRPr="00F10085">
        <w:rPr>
          <w:rFonts w:ascii="Arial" w:eastAsia="Arial" w:hAnsi="Arial" w:cs="Arial"/>
          <w:b w:val="0"/>
          <w:i w:val="0"/>
          <w:sz w:val="20"/>
          <w:highlight w:val="white"/>
        </w:rPr>
        <w:t>c) Instrução: Curso Técnico em Contabilidade, Técnico em Administração, Técnico em Recursos Humanos, Tecnologia em Gestão Pública, Processos Gerenciais, Gestão de Recursos Humanos. Graduação em Administração, Desenvolvimento Rural e Gestão Agroindustrial, Ciências Contábeis e Direito, com diplomas devidamente reconhecidos pelo MEC.</w:t>
      </w:r>
    </w:p>
    <w:p w14:paraId="7256DE9E" w14:textId="77777777" w:rsidR="00F10085" w:rsidRDefault="00F1008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3560BA8" w14:textId="77777777" w:rsidR="00F10085" w:rsidRDefault="00F1008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F10085" w:rsidSect="001B02E4">
      <w:headerReference w:type="default" r:id="rId12"/>
      <w:footerReference w:type="default" r:id="rId13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69CB" w14:textId="77777777" w:rsidR="001B02E4" w:rsidRDefault="001B02E4" w:rsidP="00D9258E">
      <w:r>
        <w:separator/>
      </w:r>
    </w:p>
  </w:endnote>
  <w:endnote w:type="continuationSeparator" w:id="0">
    <w:p w14:paraId="073467A1" w14:textId="77777777" w:rsidR="001B02E4" w:rsidRDefault="001B02E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7A1A" w14:textId="77777777" w:rsidR="001B02E4" w:rsidRDefault="001B02E4" w:rsidP="00D9258E">
      <w:r>
        <w:separator/>
      </w:r>
    </w:p>
  </w:footnote>
  <w:footnote w:type="continuationSeparator" w:id="0">
    <w:p w14:paraId="2366614C" w14:textId="77777777" w:rsidR="001B02E4" w:rsidRDefault="001B02E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B02E4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EE6A81"/>
    <w:rsid w:val="00F010D6"/>
    <w:rsid w:val="00F030D2"/>
    <w:rsid w:val="00F10085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lei-organica-bom-retiro-do-sul-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2024-04-03T12:58:00Z</cp:lastPrinted>
  <dcterms:created xsi:type="dcterms:W3CDTF">2024-04-03T13:00:00Z</dcterms:created>
  <dcterms:modified xsi:type="dcterms:W3CDTF">2024-04-03T13:00:00Z</dcterms:modified>
</cp:coreProperties>
</file>