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29C370E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F568AA">
        <w:rPr>
          <w:rFonts w:ascii="Arial" w:hAnsi="Arial" w:cs="Arial"/>
          <w:sz w:val="24"/>
          <w:szCs w:val="24"/>
          <w:u w:val="single"/>
        </w:rPr>
        <w:t>30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04CB677" w14:textId="45A993EC" w:rsidR="00972734" w:rsidRDefault="007C7686" w:rsidP="00F568AA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F568AA">
        <w:rPr>
          <w:rFonts w:ascii="Arial" w:hAnsi="Arial" w:cs="Arial"/>
          <w:sz w:val="24"/>
          <w:szCs w:val="24"/>
        </w:rPr>
        <w:t>03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F568AA">
        <w:rPr>
          <w:rFonts w:ascii="Arial" w:hAnsi="Arial" w:cs="Arial"/>
          <w:sz w:val="24"/>
          <w:szCs w:val="24"/>
        </w:rPr>
        <w:t>Legislativo</w:t>
      </w:r>
    </w:p>
    <w:p w14:paraId="2BDB3247" w14:textId="29CFB96D" w:rsidR="00737F8B" w:rsidRDefault="00737F8B" w:rsidP="00F568AA">
      <w:pPr>
        <w:spacing w:before="120" w:after="120" w:line="276" w:lineRule="auto"/>
        <w:ind w:left="3402"/>
        <w:jc w:val="both"/>
        <w:rPr>
          <w:rFonts w:ascii="Arial" w:hAnsi="Arial" w:cs="Arial"/>
          <w:sz w:val="22"/>
          <w:szCs w:val="22"/>
        </w:rPr>
      </w:pPr>
    </w:p>
    <w:p w14:paraId="500CF841" w14:textId="77777777" w:rsidR="00F568AA" w:rsidRPr="00F568AA" w:rsidRDefault="00F568AA" w:rsidP="00F568AA">
      <w:pPr>
        <w:spacing w:line="276" w:lineRule="auto"/>
        <w:ind w:left="3828"/>
        <w:jc w:val="both"/>
        <w:rPr>
          <w:rFonts w:ascii="Arial" w:eastAsia="Batang" w:hAnsi="Arial" w:cs="Arial"/>
          <w:bCs/>
          <w:i/>
          <w:iCs/>
          <w:color w:val="000000"/>
          <w:sz w:val="20"/>
        </w:rPr>
      </w:pPr>
      <w:r w:rsidRPr="00F568AA">
        <w:rPr>
          <w:rFonts w:ascii="Arial" w:eastAsia="Batang" w:hAnsi="Arial" w:cs="Arial"/>
          <w:bCs/>
          <w:i/>
          <w:iCs/>
          <w:color w:val="000000"/>
          <w:sz w:val="20"/>
        </w:rPr>
        <w:t>“Altera a redação da Lei nº 3.787/2012, que estabelece o Plano de Carreira dos Servidores do Poder Legislativo de Bom Retiro do Sul e dá outras providências.”</w:t>
      </w:r>
    </w:p>
    <w:p w14:paraId="1C9CAC4F" w14:textId="77777777" w:rsidR="00F568AA" w:rsidRPr="00F568AA" w:rsidRDefault="00F568AA" w:rsidP="00F568AA">
      <w:pPr>
        <w:spacing w:line="360" w:lineRule="auto"/>
        <w:jc w:val="both"/>
        <w:rPr>
          <w:rFonts w:ascii="Arial" w:eastAsia="Batang" w:hAnsi="Arial" w:cs="Arial"/>
          <w:bCs/>
          <w:color w:val="000000"/>
          <w:sz w:val="20"/>
        </w:rPr>
      </w:pPr>
    </w:p>
    <w:p w14:paraId="418B0C3F" w14:textId="77777777" w:rsidR="00F568AA" w:rsidRPr="00F568AA" w:rsidRDefault="00F568AA" w:rsidP="00F568AA">
      <w:pPr>
        <w:spacing w:line="360" w:lineRule="auto"/>
        <w:jc w:val="both"/>
        <w:rPr>
          <w:rFonts w:ascii="Arial" w:eastAsia="Batang" w:hAnsi="Arial" w:cs="Arial"/>
          <w:bCs/>
          <w:color w:val="000000"/>
          <w:sz w:val="20"/>
        </w:rPr>
      </w:pPr>
    </w:p>
    <w:p w14:paraId="0E61938C" w14:textId="77777777" w:rsidR="00F568AA" w:rsidRPr="00F568AA" w:rsidRDefault="00F568AA" w:rsidP="00F568AA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F568AA">
        <w:rPr>
          <w:rFonts w:ascii="Arial" w:hAnsi="Arial" w:cs="Arial"/>
          <w:b/>
          <w:sz w:val="24"/>
          <w:szCs w:val="24"/>
          <w:lang w:eastAsia="ar-SA"/>
        </w:rPr>
        <w:t xml:space="preserve">                      EDMILSON BUSATTO</w:t>
      </w:r>
      <w:r w:rsidRPr="00F568AA">
        <w:rPr>
          <w:rFonts w:ascii="Arial" w:hAnsi="Arial" w:cs="Arial"/>
          <w:sz w:val="24"/>
          <w:szCs w:val="24"/>
          <w:lang w:eastAsia="ar-SA"/>
        </w:rPr>
        <w:t>, Prefeito Municipal de Bom Retiro do Sul, Estado do Rio Grande do Sul, nos termos do art. 72, inciso IV da Lei Orgânica do Município.</w:t>
      </w:r>
    </w:p>
    <w:p w14:paraId="50662059" w14:textId="77777777" w:rsidR="00F568AA" w:rsidRPr="00F568AA" w:rsidRDefault="00F568AA" w:rsidP="00F568AA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14:paraId="78F3E2E6" w14:textId="77777777" w:rsidR="00F568AA" w:rsidRPr="00F568AA" w:rsidRDefault="00F568AA" w:rsidP="00F568AA">
      <w:pPr>
        <w:spacing w:after="200" w:line="276" w:lineRule="auto"/>
        <w:jc w:val="both"/>
        <w:rPr>
          <w:rFonts w:ascii="Arial" w:eastAsia="Batang" w:hAnsi="Arial" w:cs="Arial"/>
          <w:bCs/>
          <w:sz w:val="24"/>
          <w:szCs w:val="24"/>
        </w:rPr>
      </w:pPr>
      <w:r w:rsidRPr="00F568AA">
        <w:rPr>
          <w:rFonts w:ascii="Arial" w:eastAsia="Batang" w:hAnsi="Arial" w:cs="Arial"/>
          <w:bCs/>
          <w:sz w:val="24"/>
          <w:szCs w:val="24"/>
        </w:rPr>
        <w:tab/>
      </w:r>
      <w:r w:rsidRPr="00F568AA">
        <w:rPr>
          <w:rFonts w:ascii="Arial" w:eastAsia="Batang" w:hAnsi="Arial" w:cs="Arial"/>
          <w:bCs/>
          <w:sz w:val="24"/>
          <w:szCs w:val="24"/>
        </w:rPr>
        <w:tab/>
      </w:r>
      <w:r w:rsidRPr="00F568AA">
        <w:rPr>
          <w:rFonts w:ascii="Arial" w:eastAsia="Batang" w:hAnsi="Arial" w:cs="Arial"/>
          <w:b/>
          <w:sz w:val="24"/>
          <w:szCs w:val="24"/>
        </w:rPr>
        <w:t>FAÇO SABER</w:t>
      </w:r>
      <w:r w:rsidRPr="00F568AA">
        <w:rPr>
          <w:rFonts w:ascii="Arial" w:eastAsia="Batang" w:hAnsi="Arial" w:cs="Arial"/>
          <w:bCs/>
          <w:sz w:val="24"/>
          <w:szCs w:val="24"/>
        </w:rPr>
        <w:t xml:space="preserve"> que o Poder Legislativo aprovou e eu sanciono e promulgo a seguinte Lei:</w:t>
      </w:r>
    </w:p>
    <w:p w14:paraId="3F549953" w14:textId="77777777" w:rsidR="00F568AA" w:rsidRPr="00F568AA" w:rsidRDefault="00F568AA" w:rsidP="00F568AA">
      <w:pPr>
        <w:spacing w:before="240" w:after="240"/>
        <w:ind w:firstLine="708"/>
        <w:jc w:val="both"/>
        <w:rPr>
          <w:rFonts w:ascii="Arial" w:eastAsia="Batang" w:hAnsi="Arial" w:cs="Arial"/>
          <w:color w:val="000000"/>
          <w:sz w:val="24"/>
          <w:szCs w:val="24"/>
        </w:rPr>
      </w:pPr>
      <w:r w:rsidRPr="00F568AA">
        <w:rPr>
          <w:rFonts w:ascii="Arial" w:eastAsia="Batang" w:hAnsi="Arial" w:cs="Arial"/>
          <w:b/>
          <w:color w:val="000000"/>
          <w:sz w:val="24"/>
          <w:szCs w:val="24"/>
        </w:rPr>
        <w:t xml:space="preserve">          Art. 1°.</w:t>
      </w:r>
      <w:r w:rsidRPr="00F568AA">
        <w:rPr>
          <w:rFonts w:ascii="Arial" w:eastAsia="Batang" w:hAnsi="Arial" w:cs="Arial"/>
          <w:color w:val="000000"/>
          <w:sz w:val="24"/>
          <w:szCs w:val="24"/>
        </w:rPr>
        <w:t xml:space="preserve"> Altera a redação do art. 4º, da Lei 3.787/2012, criando o padrão de vencimento 1-A, passando a ter a seguinte redação:</w:t>
      </w:r>
    </w:p>
    <w:p w14:paraId="2B8AE417" w14:textId="77777777" w:rsidR="00F568AA" w:rsidRPr="00F568AA" w:rsidRDefault="00F568AA" w:rsidP="00F568AA">
      <w:pPr>
        <w:autoSpaceDE w:val="0"/>
        <w:autoSpaceDN w:val="0"/>
        <w:adjustRightInd w:val="0"/>
        <w:ind w:firstLine="708"/>
        <w:jc w:val="both"/>
        <w:rPr>
          <w:rFonts w:ascii="Arial" w:eastAsia="Batang" w:hAnsi="Arial" w:cs="Arial"/>
          <w:i/>
          <w:sz w:val="24"/>
          <w:szCs w:val="24"/>
        </w:rPr>
      </w:pPr>
      <w:r w:rsidRPr="00F568AA">
        <w:rPr>
          <w:rFonts w:ascii="Arial" w:eastAsia="Batang" w:hAnsi="Arial" w:cs="Arial"/>
          <w:b/>
          <w:bCs/>
          <w:i/>
          <w:sz w:val="24"/>
          <w:szCs w:val="24"/>
        </w:rPr>
        <w:t xml:space="preserve">          Art. 4º - </w:t>
      </w:r>
      <w:r w:rsidRPr="00F568AA">
        <w:rPr>
          <w:rFonts w:ascii="Arial" w:eastAsia="Batang" w:hAnsi="Arial" w:cs="Arial"/>
          <w:i/>
          <w:sz w:val="24"/>
          <w:szCs w:val="24"/>
        </w:rPr>
        <w:t>O quadro de cargos de provimento efetivo é integrado pelos seguintes padrões de vencimento, categorias funcionais e o respectivo número de cargos:</w:t>
      </w:r>
    </w:p>
    <w:p w14:paraId="0A5CFF28" w14:textId="77777777" w:rsidR="00F568AA" w:rsidRPr="00F568AA" w:rsidRDefault="00F568AA" w:rsidP="00F568AA">
      <w:pPr>
        <w:tabs>
          <w:tab w:val="left" w:pos="0"/>
          <w:tab w:val="left" w:pos="1134"/>
        </w:tabs>
        <w:spacing w:before="120"/>
        <w:jc w:val="both"/>
        <w:rPr>
          <w:rFonts w:ascii="Arial" w:eastAsia="Batang" w:hAnsi="Arial" w:cs="Arial"/>
          <w:i/>
          <w:sz w:val="24"/>
          <w:szCs w:val="24"/>
        </w:rPr>
      </w:pP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3740"/>
        <w:gridCol w:w="1122"/>
        <w:gridCol w:w="1309"/>
        <w:gridCol w:w="1870"/>
      </w:tblGrid>
      <w:tr w:rsidR="00F568AA" w:rsidRPr="00F568AA" w14:paraId="645488D4" w14:textId="77777777" w:rsidTr="00BB6413">
        <w:tc>
          <w:tcPr>
            <w:tcW w:w="1005" w:type="dxa"/>
          </w:tcPr>
          <w:p w14:paraId="2CB548DF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b/>
                <w:i/>
                <w:sz w:val="18"/>
                <w:szCs w:val="18"/>
              </w:rPr>
            </w:pPr>
            <w:r w:rsidRPr="00F568AA">
              <w:rPr>
                <w:rFonts w:ascii="Arial" w:eastAsia="Batang" w:hAnsi="Arial" w:cs="Arial"/>
                <w:b/>
                <w:i/>
                <w:sz w:val="18"/>
                <w:szCs w:val="18"/>
              </w:rPr>
              <w:t>PADRÃO</w:t>
            </w:r>
          </w:p>
        </w:tc>
        <w:tc>
          <w:tcPr>
            <w:tcW w:w="3740" w:type="dxa"/>
          </w:tcPr>
          <w:p w14:paraId="41B95459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b/>
                <w:i/>
                <w:sz w:val="18"/>
                <w:szCs w:val="18"/>
              </w:rPr>
            </w:pPr>
            <w:r w:rsidRPr="00F568AA">
              <w:rPr>
                <w:rFonts w:ascii="Arial" w:eastAsia="Batang" w:hAnsi="Arial" w:cs="Arial"/>
                <w:b/>
                <w:i/>
                <w:sz w:val="18"/>
                <w:szCs w:val="18"/>
              </w:rPr>
              <w:t>DENOMINAÇÃO DA CATEGORIA FUNCIONAL</w:t>
            </w:r>
          </w:p>
        </w:tc>
        <w:tc>
          <w:tcPr>
            <w:tcW w:w="1122" w:type="dxa"/>
          </w:tcPr>
          <w:p w14:paraId="7DE5C327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b/>
                <w:i/>
                <w:sz w:val="18"/>
                <w:szCs w:val="18"/>
              </w:rPr>
            </w:pPr>
            <w:r w:rsidRPr="00F568AA">
              <w:rPr>
                <w:rFonts w:ascii="Arial" w:eastAsia="Batang" w:hAnsi="Arial" w:cs="Arial"/>
                <w:b/>
                <w:i/>
                <w:sz w:val="18"/>
                <w:szCs w:val="18"/>
              </w:rPr>
              <w:t>Nº DE CARGOS</w:t>
            </w:r>
          </w:p>
        </w:tc>
        <w:tc>
          <w:tcPr>
            <w:tcW w:w="1309" w:type="dxa"/>
          </w:tcPr>
          <w:p w14:paraId="727CB3CA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b/>
                <w:i/>
                <w:sz w:val="18"/>
                <w:szCs w:val="18"/>
              </w:rPr>
            </w:pPr>
            <w:r w:rsidRPr="00F568AA">
              <w:rPr>
                <w:rFonts w:ascii="Arial" w:eastAsia="Batang" w:hAnsi="Arial" w:cs="Arial"/>
                <w:b/>
                <w:i/>
                <w:sz w:val="18"/>
                <w:szCs w:val="18"/>
              </w:rPr>
              <w:t>CARGA HORÁRIA SEMANAL</w:t>
            </w:r>
          </w:p>
        </w:tc>
        <w:tc>
          <w:tcPr>
            <w:tcW w:w="1870" w:type="dxa"/>
          </w:tcPr>
          <w:p w14:paraId="350A39B4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b/>
                <w:i/>
                <w:sz w:val="18"/>
                <w:szCs w:val="18"/>
              </w:rPr>
            </w:pPr>
            <w:r w:rsidRPr="00F568AA">
              <w:rPr>
                <w:rFonts w:ascii="Arial" w:eastAsia="Batang" w:hAnsi="Arial" w:cs="Arial"/>
                <w:b/>
                <w:i/>
                <w:sz w:val="18"/>
                <w:szCs w:val="18"/>
              </w:rPr>
              <w:t>ESCOLARIDADE</w:t>
            </w:r>
          </w:p>
        </w:tc>
      </w:tr>
      <w:tr w:rsidR="00F568AA" w:rsidRPr="00F568AA" w14:paraId="4A142730" w14:textId="77777777" w:rsidTr="00BB6413">
        <w:tc>
          <w:tcPr>
            <w:tcW w:w="1005" w:type="dxa"/>
          </w:tcPr>
          <w:p w14:paraId="1A121013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i/>
                <w:sz w:val="24"/>
                <w:szCs w:val="24"/>
              </w:rPr>
            </w:pPr>
            <w:r w:rsidRPr="00F568AA">
              <w:rPr>
                <w:rFonts w:ascii="Arial" w:eastAsia="Batang" w:hAnsi="Arial" w:cs="Arial"/>
                <w:i/>
                <w:sz w:val="24"/>
                <w:szCs w:val="24"/>
              </w:rPr>
              <w:t>01</w:t>
            </w:r>
          </w:p>
        </w:tc>
        <w:tc>
          <w:tcPr>
            <w:tcW w:w="3740" w:type="dxa"/>
          </w:tcPr>
          <w:p w14:paraId="41FF6153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  <w:tc>
          <w:tcPr>
            <w:tcW w:w="1122" w:type="dxa"/>
          </w:tcPr>
          <w:p w14:paraId="7D457E5F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i/>
                <w:sz w:val="22"/>
                <w:szCs w:val="22"/>
              </w:rPr>
            </w:pPr>
          </w:p>
        </w:tc>
        <w:tc>
          <w:tcPr>
            <w:tcW w:w="1309" w:type="dxa"/>
          </w:tcPr>
          <w:p w14:paraId="6E0DFED1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i/>
                <w:sz w:val="22"/>
                <w:szCs w:val="22"/>
              </w:rPr>
            </w:pPr>
          </w:p>
        </w:tc>
        <w:tc>
          <w:tcPr>
            <w:tcW w:w="1870" w:type="dxa"/>
          </w:tcPr>
          <w:p w14:paraId="29F57EF4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i/>
                <w:sz w:val="18"/>
                <w:szCs w:val="18"/>
              </w:rPr>
            </w:pPr>
          </w:p>
        </w:tc>
      </w:tr>
      <w:tr w:rsidR="00F568AA" w:rsidRPr="00F568AA" w14:paraId="237A9D8A" w14:textId="77777777" w:rsidTr="00BB6413">
        <w:tc>
          <w:tcPr>
            <w:tcW w:w="1005" w:type="dxa"/>
          </w:tcPr>
          <w:p w14:paraId="02304065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i/>
                <w:sz w:val="24"/>
                <w:szCs w:val="24"/>
              </w:rPr>
            </w:pPr>
            <w:r w:rsidRPr="00F568AA">
              <w:rPr>
                <w:rFonts w:ascii="Arial" w:eastAsia="Batang" w:hAnsi="Arial" w:cs="Arial"/>
                <w:i/>
                <w:sz w:val="24"/>
                <w:szCs w:val="24"/>
              </w:rPr>
              <w:t>01-A</w:t>
            </w:r>
          </w:p>
        </w:tc>
        <w:tc>
          <w:tcPr>
            <w:tcW w:w="3740" w:type="dxa"/>
          </w:tcPr>
          <w:p w14:paraId="10232202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rPr>
                <w:rFonts w:ascii="Arial" w:eastAsia="Batang" w:hAnsi="Arial" w:cs="Arial"/>
                <w:i/>
                <w:sz w:val="24"/>
                <w:szCs w:val="24"/>
              </w:rPr>
            </w:pPr>
            <w:r w:rsidRPr="00F568AA">
              <w:rPr>
                <w:rFonts w:ascii="Arial" w:eastAsia="Batang" w:hAnsi="Arial" w:cs="Arial"/>
                <w:i/>
                <w:sz w:val="24"/>
                <w:szCs w:val="24"/>
              </w:rPr>
              <w:t>Auxiliar de Serviços Gerais</w:t>
            </w:r>
          </w:p>
        </w:tc>
        <w:tc>
          <w:tcPr>
            <w:tcW w:w="1122" w:type="dxa"/>
          </w:tcPr>
          <w:p w14:paraId="2EDC6CDD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F568AA">
              <w:rPr>
                <w:rFonts w:ascii="Arial" w:eastAsia="Batang" w:hAnsi="Arial" w:cs="Arial"/>
                <w:i/>
                <w:sz w:val="22"/>
                <w:szCs w:val="22"/>
              </w:rPr>
              <w:t>01</w:t>
            </w:r>
          </w:p>
        </w:tc>
        <w:tc>
          <w:tcPr>
            <w:tcW w:w="1309" w:type="dxa"/>
          </w:tcPr>
          <w:p w14:paraId="5949255D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F568AA">
              <w:rPr>
                <w:rFonts w:ascii="Arial" w:eastAsia="Batang" w:hAnsi="Arial" w:cs="Arial"/>
                <w:i/>
                <w:sz w:val="22"/>
                <w:szCs w:val="22"/>
              </w:rPr>
              <w:t>40</w:t>
            </w:r>
          </w:p>
        </w:tc>
        <w:tc>
          <w:tcPr>
            <w:tcW w:w="1870" w:type="dxa"/>
          </w:tcPr>
          <w:p w14:paraId="662B3AC6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i/>
                <w:sz w:val="18"/>
                <w:szCs w:val="18"/>
              </w:rPr>
            </w:pPr>
            <w:r w:rsidRPr="00F568AA">
              <w:rPr>
                <w:rFonts w:ascii="Arial" w:eastAsia="Batang" w:hAnsi="Arial" w:cs="Arial"/>
                <w:i/>
                <w:sz w:val="18"/>
                <w:szCs w:val="18"/>
              </w:rPr>
              <w:t>Fundamental completo</w:t>
            </w:r>
          </w:p>
        </w:tc>
      </w:tr>
      <w:tr w:rsidR="00F568AA" w:rsidRPr="00F568AA" w14:paraId="06F92046" w14:textId="77777777" w:rsidTr="00BB6413">
        <w:tc>
          <w:tcPr>
            <w:tcW w:w="1005" w:type="dxa"/>
          </w:tcPr>
          <w:p w14:paraId="31FA8848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i/>
                <w:sz w:val="24"/>
                <w:szCs w:val="24"/>
              </w:rPr>
            </w:pPr>
            <w:r w:rsidRPr="00F568AA">
              <w:rPr>
                <w:rFonts w:ascii="Arial" w:eastAsia="Batang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3740" w:type="dxa"/>
          </w:tcPr>
          <w:p w14:paraId="734B0121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both"/>
              <w:rPr>
                <w:rFonts w:ascii="Arial" w:eastAsia="Batang" w:hAnsi="Arial" w:cs="Arial"/>
                <w:i/>
                <w:sz w:val="24"/>
                <w:szCs w:val="24"/>
              </w:rPr>
            </w:pPr>
            <w:r w:rsidRPr="00F568AA">
              <w:rPr>
                <w:rFonts w:ascii="Arial" w:eastAsia="Batang" w:hAnsi="Arial" w:cs="Arial"/>
                <w:i/>
                <w:sz w:val="24"/>
                <w:szCs w:val="24"/>
              </w:rPr>
              <w:t>Técnico Legislativo</w:t>
            </w:r>
          </w:p>
        </w:tc>
        <w:tc>
          <w:tcPr>
            <w:tcW w:w="1122" w:type="dxa"/>
          </w:tcPr>
          <w:p w14:paraId="1F773A10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i/>
                <w:sz w:val="24"/>
                <w:szCs w:val="24"/>
              </w:rPr>
            </w:pPr>
            <w:r w:rsidRPr="00F568AA">
              <w:rPr>
                <w:rFonts w:ascii="Arial" w:eastAsia="Batang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1309" w:type="dxa"/>
          </w:tcPr>
          <w:p w14:paraId="3BFB4105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i/>
                <w:sz w:val="24"/>
                <w:szCs w:val="24"/>
              </w:rPr>
            </w:pPr>
            <w:r w:rsidRPr="00F568AA">
              <w:rPr>
                <w:rFonts w:ascii="Arial" w:eastAsia="Batang" w:hAnsi="Arial" w:cs="Arial"/>
                <w:i/>
                <w:sz w:val="24"/>
                <w:szCs w:val="24"/>
              </w:rPr>
              <w:t>40</w:t>
            </w:r>
          </w:p>
        </w:tc>
        <w:tc>
          <w:tcPr>
            <w:tcW w:w="1870" w:type="dxa"/>
          </w:tcPr>
          <w:p w14:paraId="30FA220D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i/>
                <w:sz w:val="18"/>
                <w:szCs w:val="18"/>
              </w:rPr>
            </w:pPr>
            <w:r w:rsidRPr="00F568AA">
              <w:rPr>
                <w:rFonts w:ascii="Arial" w:eastAsia="Batang" w:hAnsi="Arial" w:cs="Arial"/>
                <w:i/>
                <w:sz w:val="18"/>
                <w:szCs w:val="18"/>
              </w:rPr>
              <w:t>Nível médio completo</w:t>
            </w:r>
          </w:p>
        </w:tc>
      </w:tr>
      <w:tr w:rsidR="00F568AA" w:rsidRPr="00F568AA" w14:paraId="2F7DBF7C" w14:textId="77777777" w:rsidTr="00BB6413">
        <w:tc>
          <w:tcPr>
            <w:tcW w:w="1005" w:type="dxa"/>
          </w:tcPr>
          <w:p w14:paraId="1E57BEDA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i/>
                <w:sz w:val="24"/>
                <w:szCs w:val="24"/>
              </w:rPr>
            </w:pPr>
            <w:r w:rsidRPr="00F568AA">
              <w:rPr>
                <w:rFonts w:ascii="Arial" w:eastAsia="Batang" w:hAnsi="Arial" w:cs="Arial"/>
                <w:i/>
                <w:sz w:val="24"/>
                <w:szCs w:val="24"/>
              </w:rPr>
              <w:t>03</w:t>
            </w:r>
          </w:p>
        </w:tc>
        <w:tc>
          <w:tcPr>
            <w:tcW w:w="3740" w:type="dxa"/>
          </w:tcPr>
          <w:p w14:paraId="2741651F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both"/>
              <w:rPr>
                <w:rFonts w:ascii="Arial" w:eastAsia="Batang" w:hAnsi="Arial" w:cs="Arial"/>
                <w:i/>
                <w:sz w:val="24"/>
                <w:szCs w:val="24"/>
              </w:rPr>
            </w:pPr>
            <w:r w:rsidRPr="00F568AA">
              <w:rPr>
                <w:rFonts w:ascii="Arial" w:eastAsia="Batang" w:hAnsi="Arial" w:cs="Arial"/>
                <w:i/>
                <w:sz w:val="24"/>
                <w:szCs w:val="24"/>
              </w:rPr>
              <w:t>Técnico Contábil</w:t>
            </w:r>
          </w:p>
        </w:tc>
        <w:tc>
          <w:tcPr>
            <w:tcW w:w="1122" w:type="dxa"/>
          </w:tcPr>
          <w:p w14:paraId="12D12B62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i/>
                <w:sz w:val="24"/>
                <w:szCs w:val="24"/>
              </w:rPr>
            </w:pPr>
            <w:r w:rsidRPr="00F568AA">
              <w:rPr>
                <w:rFonts w:ascii="Arial" w:eastAsia="Batang" w:hAnsi="Arial" w:cs="Arial"/>
                <w:i/>
                <w:sz w:val="24"/>
                <w:szCs w:val="24"/>
              </w:rPr>
              <w:t>01</w:t>
            </w:r>
          </w:p>
        </w:tc>
        <w:tc>
          <w:tcPr>
            <w:tcW w:w="1309" w:type="dxa"/>
          </w:tcPr>
          <w:p w14:paraId="7D7A0F43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i/>
                <w:sz w:val="24"/>
                <w:szCs w:val="24"/>
              </w:rPr>
            </w:pPr>
            <w:r w:rsidRPr="00F568AA">
              <w:rPr>
                <w:rFonts w:ascii="Arial" w:eastAsia="Batang" w:hAnsi="Arial" w:cs="Arial"/>
                <w:i/>
                <w:sz w:val="24"/>
                <w:szCs w:val="24"/>
              </w:rPr>
              <w:t>40</w:t>
            </w:r>
          </w:p>
        </w:tc>
        <w:tc>
          <w:tcPr>
            <w:tcW w:w="1870" w:type="dxa"/>
          </w:tcPr>
          <w:p w14:paraId="4EA8742D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i/>
                <w:sz w:val="18"/>
                <w:szCs w:val="18"/>
              </w:rPr>
            </w:pPr>
            <w:r w:rsidRPr="00F568AA">
              <w:rPr>
                <w:rFonts w:ascii="Arial" w:eastAsia="Batang" w:hAnsi="Arial" w:cs="Arial"/>
                <w:i/>
                <w:sz w:val="18"/>
                <w:szCs w:val="18"/>
              </w:rPr>
              <w:t>Nível médio téc. Em contabilidade</w:t>
            </w:r>
          </w:p>
        </w:tc>
      </w:tr>
    </w:tbl>
    <w:p w14:paraId="0627C96C" w14:textId="77777777" w:rsidR="00F568AA" w:rsidRPr="00F568AA" w:rsidRDefault="00F568AA" w:rsidP="00F568AA">
      <w:pPr>
        <w:tabs>
          <w:tab w:val="left" w:pos="0"/>
          <w:tab w:val="left" w:pos="4253"/>
        </w:tabs>
        <w:jc w:val="both"/>
        <w:rPr>
          <w:rFonts w:ascii="Arial" w:eastAsia="Batang" w:hAnsi="Arial" w:cs="Arial"/>
          <w:i/>
          <w:sz w:val="24"/>
          <w:szCs w:val="24"/>
        </w:rPr>
      </w:pPr>
    </w:p>
    <w:p w14:paraId="3F66F1C0" w14:textId="77777777" w:rsidR="00F568AA" w:rsidRPr="00F568AA" w:rsidRDefault="00F568AA" w:rsidP="00F568AA">
      <w:pPr>
        <w:spacing w:before="240" w:after="240"/>
        <w:ind w:firstLine="708"/>
        <w:jc w:val="both"/>
        <w:rPr>
          <w:rFonts w:ascii="Arial" w:eastAsia="Batang" w:hAnsi="Arial" w:cs="Arial"/>
          <w:color w:val="000000"/>
          <w:sz w:val="24"/>
          <w:szCs w:val="24"/>
        </w:rPr>
      </w:pPr>
      <w:r w:rsidRPr="00F568AA">
        <w:rPr>
          <w:rFonts w:ascii="Arial" w:eastAsia="Batang" w:hAnsi="Arial" w:cs="Arial"/>
          <w:b/>
          <w:color w:val="000000"/>
          <w:sz w:val="24"/>
          <w:szCs w:val="24"/>
        </w:rPr>
        <w:t xml:space="preserve">          Art. 2°.</w:t>
      </w:r>
      <w:r w:rsidRPr="00F568AA">
        <w:rPr>
          <w:rFonts w:ascii="Arial" w:eastAsia="Batang" w:hAnsi="Arial" w:cs="Arial"/>
          <w:color w:val="000000"/>
          <w:sz w:val="24"/>
          <w:szCs w:val="24"/>
        </w:rPr>
        <w:t xml:space="preserve"> Altera a redação do inciso I, do art. 25, da Lei 3.787/2012, passando a ter a seguinte redação:</w:t>
      </w:r>
    </w:p>
    <w:p w14:paraId="6B553175" w14:textId="77777777" w:rsidR="00F568AA" w:rsidRPr="00F568AA" w:rsidRDefault="00F568AA" w:rsidP="00F568AA">
      <w:pPr>
        <w:tabs>
          <w:tab w:val="left" w:pos="0"/>
          <w:tab w:val="left" w:pos="1134"/>
          <w:tab w:val="left" w:pos="4253"/>
        </w:tabs>
        <w:spacing w:before="120"/>
        <w:jc w:val="both"/>
        <w:rPr>
          <w:rFonts w:ascii="Arial" w:eastAsia="Batang" w:hAnsi="Arial" w:cs="Arial"/>
          <w:b/>
          <w:i/>
          <w:sz w:val="24"/>
          <w:szCs w:val="24"/>
        </w:rPr>
      </w:pPr>
      <w:r w:rsidRPr="00F568AA">
        <w:rPr>
          <w:rFonts w:ascii="Arial" w:eastAsia="Batang" w:hAnsi="Arial" w:cs="Arial"/>
          <w:b/>
          <w:i/>
          <w:sz w:val="24"/>
          <w:szCs w:val="24"/>
        </w:rPr>
        <w:tab/>
        <w:t xml:space="preserve">    Art. 25 -</w:t>
      </w:r>
      <w:r w:rsidRPr="00F568AA">
        <w:rPr>
          <w:rFonts w:ascii="Arial" w:eastAsia="Batang" w:hAnsi="Arial" w:cs="Arial"/>
          <w:i/>
          <w:sz w:val="24"/>
          <w:szCs w:val="24"/>
        </w:rPr>
        <w:t xml:space="preserve"> É a seguinte a tabela dos vencimentos dos cargos de provimento efetivo, em comissão e o valor das funções gratificadas:</w:t>
      </w:r>
      <w:r w:rsidRPr="00F568AA">
        <w:rPr>
          <w:rFonts w:ascii="Arial" w:eastAsia="Batang" w:hAnsi="Arial" w:cs="Arial"/>
          <w:b/>
          <w:i/>
          <w:sz w:val="24"/>
          <w:szCs w:val="24"/>
        </w:rPr>
        <w:tab/>
      </w:r>
    </w:p>
    <w:p w14:paraId="3E57461F" w14:textId="77777777" w:rsidR="00F568AA" w:rsidRPr="00F568AA" w:rsidRDefault="00F568AA" w:rsidP="00F568AA">
      <w:pPr>
        <w:tabs>
          <w:tab w:val="left" w:pos="0"/>
          <w:tab w:val="left" w:pos="1134"/>
          <w:tab w:val="left" w:pos="4253"/>
        </w:tabs>
        <w:spacing w:before="120"/>
        <w:rPr>
          <w:rFonts w:ascii="Arial" w:eastAsia="Batang" w:hAnsi="Arial" w:cs="Arial"/>
          <w:i/>
          <w:sz w:val="24"/>
          <w:szCs w:val="24"/>
        </w:rPr>
      </w:pPr>
      <w:r w:rsidRPr="00F568AA">
        <w:rPr>
          <w:rFonts w:ascii="Arial" w:eastAsia="Batang" w:hAnsi="Arial" w:cs="Arial"/>
          <w:b/>
          <w:i/>
          <w:sz w:val="24"/>
          <w:szCs w:val="24"/>
        </w:rPr>
        <w:tab/>
        <w:t xml:space="preserve">    I - </w:t>
      </w:r>
      <w:r w:rsidRPr="00F568AA">
        <w:rPr>
          <w:rFonts w:ascii="Arial" w:eastAsia="Batang" w:hAnsi="Arial" w:cs="Arial"/>
          <w:i/>
          <w:sz w:val="24"/>
          <w:szCs w:val="24"/>
        </w:rPr>
        <w:t>Cargos de provimento efetivo:</w:t>
      </w:r>
    </w:p>
    <w:p w14:paraId="3529ED67" w14:textId="77777777" w:rsidR="00F568AA" w:rsidRPr="00F568AA" w:rsidRDefault="00F568AA" w:rsidP="00F568AA">
      <w:pPr>
        <w:suppressAutoHyphens/>
        <w:spacing w:before="240" w:after="60"/>
        <w:jc w:val="center"/>
        <w:outlineLvl w:val="8"/>
        <w:rPr>
          <w:rFonts w:ascii="Arial" w:hAnsi="Arial" w:cs="Arial"/>
          <w:i/>
          <w:sz w:val="24"/>
          <w:szCs w:val="22"/>
          <w:lang w:eastAsia="ar-SA"/>
        </w:rPr>
      </w:pPr>
      <w:r w:rsidRPr="00F568AA">
        <w:rPr>
          <w:rFonts w:ascii="Arial" w:hAnsi="Arial" w:cs="Arial"/>
          <w:i/>
          <w:sz w:val="24"/>
          <w:szCs w:val="22"/>
          <w:lang w:eastAsia="ar-SA"/>
        </w:rPr>
        <w:t>VALOR DO VENCIMENTO BÁSICO DE ACORDO COM A CLASSE FUNCIONAL</w:t>
      </w:r>
    </w:p>
    <w:tbl>
      <w:tblPr>
        <w:tblpPr w:leftFromText="141" w:rightFromText="141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062"/>
        <w:gridCol w:w="1062"/>
        <w:gridCol w:w="1062"/>
        <w:gridCol w:w="1062"/>
        <w:gridCol w:w="1062"/>
        <w:gridCol w:w="1062"/>
        <w:gridCol w:w="1062"/>
      </w:tblGrid>
      <w:tr w:rsidR="00F568AA" w:rsidRPr="00F568AA" w14:paraId="71229C86" w14:textId="77777777" w:rsidTr="00BB6413">
        <w:tc>
          <w:tcPr>
            <w:tcW w:w="1080" w:type="dxa"/>
            <w:shd w:val="clear" w:color="auto" w:fill="auto"/>
          </w:tcPr>
          <w:p w14:paraId="24854F9A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F568A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PADRÃO</w:t>
            </w:r>
          </w:p>
        </w:tc>
        <w:tc>
          <w:tcPr>
            <w:tcW w:w="1080" w:type="dxa"/>
            <w:shd w:val="clear" w:color="auto" w:fill="auto"/>
          </w:tcPr>
          <w:p w14:paraId="294B8FDA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F568A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CLASSE “’A”</w:t>
            </w:r>
          </w:p>
        </w:tc>
        <w:tc>
          <w:tcPr>
            <w:tcW w:w="1080" w:type="dxa"/>
            <w:shd w:val="clear" w:color="auto" w:fill="auto"/>
          </w:tcPr>
          <w:p w14:paraId="52DA6DEB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F568A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CLASSE “B”</w:t>
            </w:r>
          </w:p>
        </w:tc>
        <w:tc>
          <w:tcPr>
            <w:tcW w:w="1080" w:type="dxa"/>
            <w:shd w:val="clear" w:color="auto" w:fill="auto"/>
          </w:tcPr>
          <w:p w14:paraId="20B7B467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F568A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CLASSE “C”</w:t>
            </w:r>
          </w:p>
        </w:tc>
        <w:tc>
          <w:tcPr>
            <w:tcW w:w="1081" w:type="dxa"/>
            <w:shd w:val="clear" w:color="auto" w:fill="auto"/>
          </w:tcPr>
          <w:p w14:paraId="429099B3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F568A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CLASSE “D”</w:t>
            </w:r>
          </w:p>
        </w:tc>
        <w:tc>
          <w:tcPr>
            <w:tcW w:w="1081" w:type="dxa"/>
            <w:shd w:val="clear" w:color="auto" w:fill="auto"/>
          </w:tcPr>
          <w:p w14:paraId="40655067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F568A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CLASSE “E”</w:t>
            </w:r>
          </w:p>
        </w:tc>
        <w:tc>
          <w:tcPr>
            <w:tcW w:w="1081" w:type="dxa"/>
            <w:shd w:val="clear" w:color="auto" w:fill="auto"/>
          </w:tcPr>
          <w:p w14:paraId="09CA5A3C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F568A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CLASSE “F”</w:t>
            </w:r>
          </w:p>
        </w:tc>
        <w:tc>
          <w:tcPr>
            <w:tcW w:w="1081" w:type="dxa"/>
            <w:shd w:val="clear" w:color="auto" w:fill="auto"/>
          </w:tcPr>
          <w:p w14:paraId="32F468F8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F568A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CLASSE</w:t>
            </w:r>
          </w:p>
          <w:p w14:paraId="656BBC45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F568A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“G”</w:t>
            </w:r>
          </w:p>
        </w:tc>
      </w:tr>
      <w:tr w:rsidR="00F568AA" w:rsidRPr="00F568AA" w14:paraId="366A2295" w14:textId="77777777" w:rsidTr="00BB6413">
        <w:tc>
          <w:tcPr>
            <w:tcW w:w="1080" w:type="dxa"/>
            <w:shd w:val="clear" w:color="auto" w:fill="auto"/>
          </w:tcPr>
          <w:p w14:paraId="57DBAB60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Arial" w:eastAsia="Calibri" w:hAnsi="Arial" w:cs="Arial"/>
                <w:i/>
                <w:sz w:val="22"/>
                <w:szCs w:val="22"/>
              </w:rPr>
              <w:t>01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14A74E4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1.203,27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07321B3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1.322,39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BE0A5D3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1442,59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1446424F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1563,03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666A7C15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1.684,04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1E2711FD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1.803,26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5BE9E103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1.923,46</w:t>
            </w:r>
          </w:p>
        </w:tc>
      </w:tr>
      <w:tr w:rsidR="00F568AA" w:rsidRPr="00F568AA" w14:paraId="28FE464C" w14:textId="77777777" w:rsidTr="00BB6413">
        <w:tc>
          <w:tcPr>
            <w:tcW w:w="1080" w:type="dxa"/>
            <w:shd w:val="clear" w:color="auto" w:fill="auto"/>
          </w:tcPr>
          <w:p w14:paraId="20BD7696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Arial" w:eastAsia="Calibri" w:hAnsi="Arial" w:cs="Arial"/>
                <w:i/>
                <w:sz w:val="22"/>
                <w:szCs w:val="22"/>
              </w:rPr>
              <w:t>01-A</w:t>
            </w:r>
          </w:p>
        </w:tc>
        <w:tc>
          <w:tcPr>
            <w:tcW w:w="1080" w:type="dxa"/>
            <w:shd w:val="clear" w:color="auto" w:fill="auto"/>
          </w:tcPr>
          <w:p w14:paraId="1F7B24C6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1.855,00</w:t>
            </w:r>
          </w:p>
        </w:tc>
        <w:tc>
          <w:tcPr>
            <w:tcW w:w="1080" w:type="dxa"/>
            <w:shd w:val="clear" w:color="auto" w:fill="auto"/>
          </w:tcPr>
          <w:p w14:paraId="523E6FF5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</w:pPr>
            <w:r w:rsidRPr="00F568AA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2.040,50</w:t>
            </w:r>
          </w:p>
        </w:tc>
        <w:tc>
          <w:tcPr>
            <w:tcW w:w="1080" w:type="dxa"/>
            <w:shd w:val="clear" w:color="auto" w:fill="auto"/>
          </w:tcPr>
          <w:p w14:paraId="4059F467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</w:pPr>
            <w:r w:rsidRPr="00F568AA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2.226,00</w:t>
            </w:r>
          </w:p>
        </w:tc>
        <w:tc>
          <w:tcPr>
            <w:tcW w:w="1081" w:type="dxa"/>
            <w:shd w:val="clear" w:color="auto" w:fill="auto"/>
          </w:tcPr>
          <w:p w14:paraId="5601EA8F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</w:pPr>
            <w:r w:rsidRPr="00F568AA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2.411,50</w:t>
            </w:r>
          </w:p>
        </w:tc>
        <w:tc>
          <w:tcPr>
            <w:tcW w:w="1081" w:type="dxa"/>
            <w:shd w:val="clear" w:color="auto" w:fill="auto"/>
          </w:tcPr>
          <w:p w14:paraId="2290534E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</w:pPr>
            <w:r w:rsidRPr="00F568AA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2.597,00</w:t>
            </w:r>
          </w:p>
        </w:tc>
        <w:tc>
          <w:tcPr>
            <w:tcW w:w="1081" w:type="dxa"/>
            <w:shd w:val="clear" w:color="auto" w:fill="auto"/>
          </w:tcPr>
          <w:p w14:paraId="15D8ABA2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</w:pPr>
            <w:r w:rsidRPr="00F568AA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2.782,50</w:t>
            </w:r>
          </w:p>
        </w:tc>
        <w:tc>
          <w:tcPr>
            <w:tcW w:w="1081" w:type="dxa"/>
            <w:shd w:val="clear" w:color="auto" w:fill="auto"/>
          </w:tcPr>
          <w:p w14:paraId="343D2697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</w:pPr>
            <w:r w:rsidRPr="00F568AA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2.968,00</w:t>
            </w:r>
          </w:p>
        </w:tc>
      </w:tr>
      <w:tr w:rsidR="00F568AA" w:rsidRPr="00F568AA" w14:paraId="791DFFE0" w14:textId="77777777" w:rsidTr="00BB6413">
        <w:tc>
          <w:tcPr>
            <w:tcW w:w="1080" w:type="dxa"/>
            <w:shd w:val="clear" w:color="auto" w:fill="auto"/>
          </w:tcPr>
          <w:p w14:paraId="3DDBAA7A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Arial" w:eastAsia="Calibri" w:hAnsi="Arial" w:cs="Arial"/>
                <w:i/>
                <w:sz w:val="22"/>
                <w:szCs w:val="22"/>
              </w:rPr>
              <w:t>02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F27CE22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3.320,61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51BB097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3.652,66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2525A36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3.984,71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1C5B9CCA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4.316,78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019ABCB1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4.648,85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28457478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4.980,92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0B91F2D8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5.312,98</w:t>
            </w:r>
          </w:p>
        </w:tc>
      </w:tr>
      <w:tr w:rsidR="00F568AA" w:rsidRPr="00F568AA" w14:paraId="156AFC30" w14:textId="77777777" w:rsidTr="00BB6413">
        <w:tc>
          <w:tcPr>
            <w:tcW w:w="1080" w:type="dxa"/>
            <w:shd w:val="clear" w:color="auto" w:fill="auto"/>
          </w:tcPr>
          <w:p w14:paraId="0EEE2DCD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Arial" w:eastAsia="Calibri" w:hAnsi="Arial" w:cs="Arial"/>
                <w:i/>
                <w:sz w:val="22"/>
                <w:szCs w:val="22"/>
              </w:rPr>
              <w:t>03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25FBF41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4.151,26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E38F9C8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4.566,38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AD326FA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4.981,53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518B1CEF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5.396,64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60E1EE0A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5.811,76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5675E114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6.226,91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0348A83E" w14:textId="77777777" w:rsidR="00F568AA" w:rsidRPr="00F568AA" w:rsidRDefault="00F568AA" w:rsidP="00F568AA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F56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6.642,13</w:t>
            </w:r>
          </w:p>
        </w:tc>
      </w:tr>
    </w:tbl>
    <w:p w14:paraId="4459709E" w14:textId="77777777" w:rsidR="00F568AA" w:rsidRPr="00F568AA" w:rsidRDefault="00F568AA" w:rsidP="00F568AA">
      <w:pPr>
        <w:tabs>
          <w:tab w:val="left" w:pos="0"/>
          <w:tab w:val="left" w:pos="4253"/>
        </w:tabs>
        <w:jc w:val="both"/>
        <w:rPr>
          <w:rFonts w:ascii="Arial" w:eastAsia="Batang" w:hAnsi="Arial" w:cs="Arial"/>
          <w:i/>
          <w:sz w:val="24"/>
          <w:szCs w:val="24"/>
        </w:rPr>
      </w:pPr>
    </w:p>
    <w:p w14:paraId="2359C756" w14:textId="4F473A97" w:rsidR="00F568AA" w:rsidRDefault="00F568AA" w:rsidP="00F568AA">
      <w:pPr>
        <w:spacing w:before="240" w:after="240"/>
        <w:ind w:firstLine="708"/>
        <w:jc w:val="both"/>
        <w:rPr>
          <w:rFonts w:ascii="Arial" w:eastAsia="Batang" w:hAnsi="Arial" w:cs="Arial"/>
          <w:color w:val="000000"/>
          <w:sz w:val="24"/>
          <w:szCs w:val="24"/>
        </w:rPr>
      </w:pPr>
      <w:r w:rsidRPr="00F568AA">
        <w:rPr>
          <w:rFonts w:ascii="Arial" w:eastAsia="Batang" w:hAnsi="Arial" w:cs="Arial"/>
          <w:b/>
          <w:color w:val="000000"/>
          <w:sz w:val="24"/>
          <w:szCs w:val="24"/>
        </w:rPr>
        <w:lastRenderedPageBreak/>
        <w:t xml:space="preserve">            Art. 3º.</w:t>
      </w:r>
      <w:r w:rsidRPr="00F568AA">
        <w:rPr>
          <w:rFonts w:ascii="Arial" w:eastAsia="Batang" w:hAnsi="Arial" w:cs="Arial"/>
          <w:color w:val="000000"/>
          <w:sz w:val="24"/>
          <w:szCs w:val="24"/>
        </w:rPr>
        <w:t xml:space="preserve"> Esta Lei entrará em vigor na data de sua publicação, retroagindo seus efeitos a 1º de fevereiro de 2023.</w:t>
      </w:r>
    </w:p>
    <w:p w14:paraId="4640FBCB" w14:textId="77777777" w:rsidR="00F568AA" w:rsidRPr="00F568AA" w:rsidRDefault="00F568AA" w:rsidP="00F568AA">
      <w:pPr>
        <w:spacing w:before="240" w:after="240"/>
        <w:ind w:firstLine="708"/>
        <w:jc w:val="both"/>
        <w:rPr>
          <w:rFonts w:ascii="Arial" w:eastAsia="Batang" w:hAnsi="Arial" w:cs="Arial"/>
          <w:color w:val="000000"/>
          <w:sz w:val="24"/>
          <w:szCs w:val="24"/>
        </w:rPr>
      </w:pPr>
      <w:r w:rsidRPr="00F568AA">
        <w:rPr>
          <w:rFonts w:ascii="Arial" w:eastAsia="Batang" w:hAnsi="Arial" w:cs="Arial"/>
          <w:b/>
          <w:color w:val="000000"/>
          <w:sz w:val="24"/>
          <w:szCs w:val="24"/>
        </w:rPr>
        <w:t xml:space="preserve">            Art. 4º. </w:t>
      </w:r>
      <w:r w:rsidRPr="00F568AA">
        <w:rPr>
          <w:rFonts w:ascii="Arial" w:eastAsia="Batang" w:hAnsi="Arial" w:cs="Arial"/>
          <w:color w:val="000000"/>
          <w:sz w:val="24"/>
          <w:szCs w:val="24"/>
        </w:rPr>
        <w:t>Revogam-se disposições em contrário.</w:t>
      </w:r>
    </w:p>
    <w:p w14:paraId="1D7199B0" w14:textId="77777777" w:rsidR="00737F8B" w:rsidRDefault="00737F8B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64C5766F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1B43DF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1B43DF">
        <w:rPr>
          <w:rFonts w:ascii="Arial" w:hAnsi="Arial" w:cs="Arial"/>
          <w:sz w:val="24"/>
          <w:szCs w:val="24"/>
        </w:rPr>
        <w:t>março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228091F8" w14:textId="77777777" w:rsidR="00BD2C8D" w:rsidRDefault="00BD2C8D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4D957E36" w14:textId="4A2D02D4" w:rsidR="00972734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p w14:paraId="5B3B8EC4" w14:textId="16E0D258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sectPr w:rsidR="00972734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F83F" w14:textId="77777777" w:rsidR="00D045D8" w:rsidRDefault="00D045D8" w:rsidP="008C505E">
      <w:r>
        <w:separator/>
      </w:r>
    </w:p>
  </w:endnote>
  <w:endnote w:type="continuationSeparator" w:id="0">
    <w:p w14:paraId="437C4E59" w14:textId="77777777" w:rsidR="00D045D8" w:rsidRDefault="00D045D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BD5E" w14:textId="77777777" w:rsidR="00D045D8" w:rsidRDefault="00D045D8" w:rsidP="008C505E">
      <w:r>
        <w:separator/>
      </w:r>
    </w:p>
  </w:footnote>
  <w:footnote w:type="continuationSeparator" w:id="0">
    <w:p w14:paraId="58EAB767" w14:textId="77777777" w:rsidR="00D045D8" w:rsidRDefault="00D045D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6928"/>
    <w:rsid w:val="006875C3"/>
    <w:rsid w:val="006915E9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45D8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6667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8AA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2023-03-01T12:51:00Z</cp:lastPrinted>
  <dcterms:created xsi:type="dcterms:W3CDTF">2023-03-01T12:53:00Z</dcterms:created>
  <dcterms:modified xsi:type="dcterms:W3CDTF">2023-03-01T12:53:00Z</dcterms:modified>
</cp:coreProperties>
</file>