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55C942F3"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B75B73">
        <w:rPr>
          <w:rFonts w:ascii="Arial" w:hAnsi="Arial" w:cs="Arial"/>
          <w:sz w:val="24"/>
          <w:szCs w:val="24"/>
          <w:u w:val="single"/>
        </w:rPr>
        <w:t>10</w:t>
      </w:r>
      <w:r w:rsidR="00D40270">
        <w:rPr>
          <w:rFonts w:ascii="Arial" w:hAnsi="Arial" w:cs="Arial"/>
          <w:sz w:val="24"/>
          <w:szCs w:val="24"/>
          <w:u w:val="single"/>
        </w:rPr>
        <w:t>9</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36C84050" w14:textId="71D51825"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40270">
        <w:rPr>
          <w:rFonts w:ascii="Arial" w:hAnsi="Arial" w:cs="Arial"/>
          <w:sz w:val="24"/>
          <w:szCs w:val="24"/>
        </w:rPr>
        <w:t>106</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D40270">
        <w:rPr>
          <w:rFonts w:ascii="Arial" w:hAnsi="Arial" w:cs="Arial"/>
          <w:sz w:val="24"/>
          <w:szCs w:val="24"/>
        </w:rPr>
        <w:t>Executivo</w:t>
      </w:r>
    </w:p>
    <w:p w14:paraId="000C931B" w14:textId="7D74199E" w:rsidR="001018E6" w:rsidRDefault="001018E6" w:rsidP="001018E6">
      <w:pPr>
        <w:pStyle w:val="Ttulo"/>
        <w:ind w:left="-709" w:right="-568"/>
        <w:jc w:val="both"/>
        <w:rPr>
          <w:rFonts w:ascii="Arial" w:hAnsi="Arial" w:cs="Arial"/>
          <w:sz w:val="24"/>
          <w:szCs w:val="24"/>
        </w:rPr>
      </w:pPr>
    </w:p>
    <w:p w14:paraId="6A07C60C" w14:textId="31ED4FE1" w:rsidR="001018E6" w:rsidRDefault="001018E6" w:rsidP="001018E6">
      <w:pPr>
        <w:pStyle w:val="Ttulo"/>
        <w:ind w:left="-709" w:right="-568"/>
        <w:jc w:val="both"/>
        <w:rPr>
          <w:rFonts w:ascii="Arial" w:hAnsi="Arial" w:cs="Arial"/>
          <w:sz w:val="24"/>
          <w:szCs w:val="24"/>
        </w:rPr>
      </w:pPr>
    </w:p>
    <w:p w14:paraId="1805F512" w14:textId="0BAD0569" w:rsidR="000560FF" w:rsidRPr="000560FF" w:rsidRDefault="000560FF" w:rsidP="000560FF">
      <w:pPr>
        <w:autoSpaceDE w:val="0"/>
        <w:autoSpaceDN w:val="0"/>
        <w:adjustRightInd w:val="0"/>
        <w:spacing w:after="240" w:line="276" w:lineRule="auto"/>
        <w:ind w:left="2835"/>
        <w:jc w:val="both"/>
        <w:rPr>
          <w:rFonts w:ascii="Arial" w:hAnsi="Arial" w:cs="Arial"/>
          <w:iCs/>
          <w:sz w:val="24"/>
          <w:szCs w:val="24"/>
        </w:rPr>
      </w:pPr>
      <w:r w:rsidRPr="000560FF">
        <w:rPr>
          <w:rFonts w:ascii="Arial" w:hAnsi="Arial" w:cs="Arial"/>
          <w:iCs/>
          <w:sz w:val="24"/>
          <w:szCs w:val="24"/>
        </w:rPr>
        <w:t>Dispõe sobre as diretrizes orçamentárias para o exercício financeiro de 2023</w:t>
      </w:r>
    </w:p>
    <w:p w14:paraId="37976A9D" w14:textId="77777777" w:rsidR="000560FF" w:rsidRPr="000560FF" w:rsidRDefault="000560FF" w:rsidP="000560FF">
      <w:pPr>
        <w:autoSpaceDE w:val="0"/>
        <w:autoSpaceDN w:val="0"/>
        <w:adjustRightInd w:val="0"/>
        <w:spacing w:after="240" w:line="276" w:lineRule="auto"/>
        <w:ind w:left="4395"/>
        <w:jc w:val="both"/>
        <w:rPr>
          <w:rFonts w:ascii="Arial" w:eastAsia="Calibri" w:hAnsi="Arial" w:cs="Arial"/>
          <w:bCs/>
          <w:i/>
          <w:sz w:val="20"/>
        </w:rPr>
      </w:pPr>
    </w:p>
    <w:p w14:paraId="46E1CFEB" w14:textId="77777777" w:rsidR="000560FF" w:rsidRPr="000560FF" w:rsidRDefault="000560FF" w:rsidP="000560FF">
      <w:pPr>
        <w:spacing w:after="240" w:line="276" w:lineRule="auto"/>
        <w:jc w:val="both"/>
        <w:rPr>
          <w:rFonts w:ascii="Arial" w:hAnsi="Arial" w:cs="Arial"/>
          <w:i/>
          <w:sz w:val="24"/>
          <w:szCs w:val="24"/>
        </w:rPr>
      </w:pPr>
      <w:r w:rsidRPr="000560FF">
        <w:rPr>
          <w:rFonts w:ascii="Arial" w:hAnsi="Arial" w:cs="Arial"/>
          <w:i/>
          <w:sz w:val="24"/>
          <w:szCs w:val="24"/>
        </w:rPr>
        <w:tab/>
      </w:r>
      <w:r w:rsidRPr="000560FF">
        <w:rPr>
          <w:rFonts w:ascii="Arial" w:hAnsi="Arial" w:cs="Arial"/>
          <w:i/>
          <w:sz w:val="24"/>
          <w:szCs w:val="24"/>
        </w:rPr>
        <w:tab/>
      </w:r>
      <w:r w:rsidRPr="000560FF">
        <w:rPr>
          <w:rFonts w:ascii="Arial" w:hAnsi="Arial" w:cs="Arial"/>
          <w:b/>
          <w:i/>
          <w:sz w:val="24"/>
          <w:szCs w:val="24"/>
        </w:rPr>
        <w:t>EDMILSON BUSATTO</w:t>
      </w:r>
      <w:r w:rsidRPr="000560FF">
        <w:rPr>
          <w:rFonts w:ascii="Arial" w:hAnsi="Arial" w:cs="Arial"/>
          <w:b/>
          <w:sz w:val="24"/>
          <w:szCs w:val="24"/>
        </w:rPr>
        <w:t xml:space="preserve">, </w:t>
      </w:r>
      <w:r w:rsidRPr="000560FF">
        <w:rPr>
          <w:rFonts w:ascii="Arial" w:hAnsi="Arial" w:cs="Arial"/>
          <w:sz w:val="24"/>
          <w:szCs w:val="24"/>
        </w:rPr>
        <w:t>Prefeito Municipal de Bom Retiro do Sul, Estado do Rio Grande do Sul, em cumprimento ao disposto no art. 58 da Lei Orgânica do Município;</w:t>
      </w:r>
    </w:p>
    <w:p w14:paraId="5FF23DC4" w14:textId="77777777" w:rsidR="000560FF" w:rsidRPr="000560FF" w:rsidRDefault="000560FF" w:rsidP="000560FF">
      <w:pPr>
        <w:spacing w:after="240" w:line="276" w:lineRule="auto"/>
        <w:jc w:val="both"/>
        <w:rPr>
          <w:rFonts w:ascii="Arial" w:hAnsi="Arial" w:cs="Arial"/>
          <w:sz w:val="24"/>
          <w:szCs w:val="24"/>
        </w:rPr>
      </w:pPr>
      <w:r w:rsidRPr="000560FF">
        <w:rPr>
          <w:rFonts w:ascii="Arial" w:hAnsi="Arial" w:cs="Arial"/>
          <w:b/>
          <w:i/>
          <w:sz w:val="24"/>
          <w:szCs w:val="24"/>
        </w:rPr>
        <w:tab/>
      </w:r>
      <w:r w:rsidRPr="000560FF">
        <w:rPr>
          <w:rFonts w:ascii="Arial" w:hAnsi="Arial" w:cs="Arial"/>
          <w:b/>
          <w:i/>
          <w:sz w:val="24"/>
          <w:szCs w:val="24"/>
        </w:rPr>
        <w:tab/>
        <w:t xml:space="preserve">FAÇO SABER </w:t>
      </w:r>
      <w:r w:rsidRPr="000560FF">
        <w:rPr>
          <w:rFonts w:ascii="Arial" w:hAnsi="Arial" w:cs="Arial"/>
          <w:sz w:val="24"/>
          <w:szCs w:val="24"/>
        </w:rPr>
        <w:t>que o Poder Legislativo aprovou e eu sanciono e promulgo a seguinte Lei:</w:t>
      </w:r>
    </w:p>
    <w:p w14:paraId="6B386869" w14:textId="77777777" w:rsidR="000560FF" w:rsidRPr="000560FF" w:rsidRDefault="000560FF" w:rsidP="000560FF">
      <w:pPr>
        <w:spacing w:after="240" w:line="276" w:lineRule="auto"/>
        <w:jc w:val="center"/>
        <w:rPr>
          <w:rFonts w:ascii="Arial" w:hAnsi="Arial" w:cs="Arial"/>
          <w:b/>
          <w:bCs/>
          <w:sz w:val="24"/>
        </w:rPr>
      </w:pPr>
      <w:r w:rsidRPr="000560FF">
        <w:rPr>
          <w:rFonts w:ascii="Arial" w:hAnsi="Arial" w:cs="Arial"/>
          <w:b/>
          <w:bCs/>
          <w:sz w:val="24"/>
        </w:rPr>
        <w:t>Capítulo I - Disposições Preliminares</w:t>
      </w:r>
    </w:p>
    <w:p w14:paraId="6E0A66A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1º</w:t>
      </w:r>
      <w:r w:rsidRPr="000560FF">
        <w:rPr>
          <w:rFonts w:ascii="Arial" w:hAnsi="Arial" w:cs="Arial"/>
          <w:bCs/>
          <w:iCs/>
          <w:sz w:val="24"/>
          <w:szCs w:val="24"/>
        </w:rPr>
        <w:t xml:space="preserve"> Ficam estabelecidas, em cumprimento ao disposto no art. 165, § 2.º, da Constituição Federal, no art. 105 da Lei Orgânica do Município, e na Lei Complementar nº 101, de 04 de maio de 2000, as diretrizes gerais para elaboração do orçamento do Município, relativas ao exercício de 2023, compreendendo:</w:t>
      </w:r>
    </w:p>
    <w:p w14:paraId="2011CF4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as metas e as prioridades da administração municipal;</w:t>
      </w:r>
    </w:p>
    <w:p w14:paraId="664A3EF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 organização e estrutura do orçamento;</w:t>
      </w:r>
    </w:p>
    <w:p w14:paraId="495F92C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as diretrizes para elaboração e execução do orçamento e suas alterações;</w:t>
      </w:r>
    </w:p>
    <w:p w14:paraId="728FBE5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as disposições relativas à dívida pública municipal;</w:t>
      </w:r>
    </w:p>
    <w:p w14:paraId="0F85800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 - as disposições relativas às despesas do Município com pessoal e encargos sociais;</w:t>
      </w:r>
    </w:p>
    <w:p w14:paraId="0F8D220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as disposições sobre alterações na legislação tributária;</w:t>
      </w:r>
    </w:p>
    <w:p w14:paraId="3460053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as disposições gerais.</w:t>
      </w:r>
    </w:p>
    <w:p w14:paraId="62B50D8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Parágrafo único.</w:t>
      </w:r>
      <w:r w:rsidRPr="000560FF">
        <w:rPr>
          <w:rFonts w:ascii="Arial" w:hAnsi="Arial" w:cs="Arial"/>
          <w:bCs/>
          <w:iCs/>
          <w:sz w:val="24"/>
          <w:szCs w:val="24"/>
        </w:rPr>
        <w:t xml:space="preserve"> Integram esta lei os seguintes anexos:</w:t>
      </w:r>
    </w:p>
    <w:p w14:paraId="56D5129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Anexo I, de metas fiscais, composto dos demonstrativos:</w:t>
      </w:r>
    </w:p>
    <w:p w14:paraId="4737122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das metas fiscais anuais de acordo com o art. 4o, § 1o, da Lei Complementar nº 101/2000, acompanhado da memória e metodologia de cálculo;</w:t>
      </w:r>
    </w:p>
    <w:p w14:paraId="26C15B0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b) da avaliação do cumprimento das metas fiscais relativas ao ano de 2021;</w:t>
      </w:r>
    </w:p>
    <w:p w14:paraId="62CF1AF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c) das metas fiscais previstas para 2023, 2024 e 2025, comparadas com as fixadas nos exercícios de 2020, 2021 e 2022;</w:t>
      </w:r>
    </w:p>
    <w:p w14:paraId="3E49C79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d) da evolução do patrimônio líquido, conforme o art. 4o, § 2o, inciso III, da Lei Complementar nº 101/2000;</w:t>
      </w:r>
    </w:p>
    <w:p w14:paraId="2F7A307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e) da origem e aplicação dos recursos obtidos com a alienação de ativos, em cumprimento ao disposto no art. 4o, § 2o, inciso III, da Lei Complementar nº 101/2000;</w:t>
      </w:r>
    </w:p>
    <w:p w14:paraId="7DA110F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f) da estimativa e compensação da renúncia de receita, conforme art. 4o, § 2o, inciso V, da Lei Complementar nº 101/2000;</w:t>
      </w:r>
    </w:p>
    <w:p w14:paraId="2714396F" w14:textId="6A29D4CC"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g) da margem de expansão das Despesas Obrigatórias de Caráter Continuado (DOCC), conforme art. 4o, § 2o, inciso V, da Lei Complementar nº 101/2000, cujo resultado é meramente indicativo de alerta para a criação de novas DOCC, ou da existência de espaço fiscal para a criação de novas despesas.</w:t>
      </w:r>
    </w:p>
    <w:p w14:paraId="4DEC143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Anexo II, de Riscos Fiscais e providências, contendo a avaliação dos riscos orçamentários e os passivos contingentes capazes de afetar as contas públicas, em cumprimento ao art. 4o, § 3o, da Lei Complementar nº 101/2000.</w:t>
      </w:r>
    </w:p>
    <w:p w14:paraId="74D15BD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Anexo III, de caráter informativo e não normativo, contemplando o detalhamento dos Programas e Ações previstas no Plano Plurianual, com execução prevista para próximo exercício, o qual deverá servir de referência para o planejamento, podendo ser atualizado pela lei orçamentária ou através de créditos adicionais.</w:t>
      </w:r>
    </w:p>
    <w:p w14:paraId="1EBD7F0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Anexo IV, informando as despesas para conservação do patrimônio público e para os projetos em andamento, em cumprimento ao disposto no art. 45 da Lei Complementar nº 101, de 2000.</w:t>
      </w:r>
    </w:p>
    <w:p w14:paraId="66C0133A" w14:textId="77777777" w:rsidR="000560FF" w:rsidRPr="000560FF" w:rsidRDefault="000560FF" w:rsidP="000560FF">
      <w:pPr>
        <w:spacing w:after="240" w:line="276" w:lineRule="auto"/>
        <w:ind w:firstLine="1418"/>
        <w:jc w:val="both"/>
        <w:rPr>
          <w:rFonts w:ascii="Arial" w:hAnsi="Arial" w:cs="Arial"/>
          <w:bCs/>
          <w:iCs/>
          <w:sz w:val="24"/>
          <w:szCs w:val="24"/>
        </w:rPr>
      </w:pPr>
    </w:p>
    <w:p w14:paraId="71AE7B6C"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II - Das Metas e Prioridades da Administração Pública Municipal</w:t>
      </w:r>
    </w:p>
    <w:p w14:paraId="4DC1D8E4" w14:textId="77777777" w:rsidR="000560FF" w:rsidRPr="000560FF" w:rsidRDefault="000560FF" w:rsidP="000560FF">
      <w:pPr>
        <w:spacing w:after="240" w:line="276" w:lineRule="auto"/>
        <w:ind w:firstLine="1418"/>
        <w:jc w:val="both"/>
        <w:rPr>
          <w:rFonts w:ascii="Arial" w:hAnsi="Arial" w:cs="Arial"/>
          <w:b/>
          <w:iCs/>
          <w:sz w:val="24"/>
          <w:szCs w:val="24"/>
        </w:rPr>
      </w:pPr>
    </w:p>
    <w:p w14:paraId="20AA8A0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2º</w:t>
      </w:r>
      <w:r w:rsidRPr="000560FF">
        <w:rPr>
          <w:rFonts w:ascii="Arial" w:hAnsi="Arial" w:cs="Arial"/>
          <w:bCs/>
          <w:iCs/>
          <w:sz w:val="24"/>
          <w:szCs w:val="24"/>
        </w:rPr>
        <w:t xml:space="preserve"> A elaboração e aprovação do Projeto de Lei Orçamentária e a execução da respectiva Lei deverão ser compatíveis com a obtenção da meta de &lt;&lt;superávit&gt;&gt; &lt;&lt;déficit&gt;&gt; primário consolidado, de R$ 238.631,15 (duzentos </w:t>
      </w:r>
      <w:r w:rsidRPr="000560FF">
        <w:rPr>
          <w:rFonts w:ascii="Arial" w:hAnsi="Arial" w:cs="Arial"/>
          <w:bCs/>
          <w:iCs/>
          <w:sz w:val="24"/>
          <w:szCs w:val="24"/>
        </w:rPr>
        <w:lastRenderedPageBreak/>
        <w:t>e trinta e oito mil seiscentos e trinta e um reais e quinze centavos), conforme demonstrado no Anexo de Metas Fiscais constante do Anexo I a esta Lei.</w:t>
      </w:r>
    </w:p>
    <w:p w14:paraId="497D26C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A meta de resultado primário poderá ser ajustada quando do encaminhamento do projeto de lei orçamentária anual, se verificadas alterações no comportamento das variáveis macroeconômicas utilizadas nas estimativas das receitas e despesas;</w:t>
      </w:r>
    </w:p>
    <w:p w14:paraId="61454EA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14:paraId="3AE8070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3º Sem prejuízo do disposto no art. 65, II, da Lei Complementar nº 101/2000, a meta resultado primário poderá ser </w:t>
      </w:r>
      <w:proofErr w:type="gramStart"/>
      <w:r w:rsidRPr="000560FF">
        <w:rPr>
          <w:rFonts w:ascii="Arial" w:hAnsi="Arial" w:cs="Arial"/>
          <w:bCs/>
          <w:iCs/>
          <w:sz w:val="24"/>
          <w:szCs w:val="24"/>
        </w:rPr>
        <w:t>revisada</w:t>
      </w:r>
      <w:proofErr w:type="gramEnd"/>
      <w:r w:rsidRPr="000560FF">
        <w:rPr>
          <w:rFonts w:ascii="Arial" w:hAnsi="Arial" w:cs="Arial"/>
          <w:bCs/>
          <w:iCs/>
          <w:sz w:val="24"/>
          <w:szCs w:val="24"/>
        </w:rPr>
        <w:t xml:space="preserve"> em decorrência da frustração da arrecadação das receitas que são objeto das transferências previstas nos arts. 158, 159 e 212-A da Constituição Federal.</w:t>
      </w:r>
    </w:p>
    <w:p w14:paraId="7262A2F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4º Para os fins do disposto no § 3º, considera-se frustração de arrecadação, a diferença a menor que for observada entre os valores da arrecadação acumulada do exercício, em comparação com igual período do ano anterior.</w:t>
      </w:r>
    </w:p>
    <w:p w14:paraId="4D1378A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5º Nas hipóteses de ajustes da meta de resultado primário, e para efeitos da audiência pública prevista no art. 9o, § 4o, da Lei Complementar nº 101/2000, a meta alcançada será comparada com a meta ajustada.</w:t>
      </w:r>
    </w:p>
    <w:p w14:paraId="7F08C06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3º</w:t>
      </w:r>
      <w:r w:rsidRPr="000560FF">
        <w:rPr>
          <w:rFonts w:ascii="Arial" w:hAnsi="Arial" w:cs="Arial"/>
          <w:bCs/>
          <w:iCs/>
          <w:sz w:val="24"/>
          <w:szCs w:val="24"/>
        </w:rPr>
        <w:t xml:space="preserve"> As metas e prioridades para o exercício financeiro de 2023 relacionadas com a execução de programas e ações orçamentárias estão estruturadas de acordo com o Plano Plurianual para 2022/2025 - Lei no, de PPA           e suas alterações, estão especificadas no Anexo III desta Lei.</w:t>
      </w:r>
    </w:p>
    <w:p w14:paraId="0DCB68C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As metas e prioridades de que trata o caput,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4F7E3C21" w14:textId="61D573C5" w:rsid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Na hipótese prevista no parágrafo 1o, as alterações do Anexo III serão evidenciadas em demonstrativo específico, a ser encaminhado juntamente com a proposta orçamentária para o próximo exercício.</w:t>
      </w:r>
    </w:p>
    <w:p w14:paraId="54C7285A" w14:textId="77777777" w:rsidR="008535EC" w:rsidRPr="000560FF" w:rsidRDefault="008535EC" w:rsidP="000560FF">
      <w:pPr>
        <w:spacing w:after="240" w:line="276" w:lineRule="auto"/>
        <w:ind w:firstLine="1418"/>
        <w:jc w:val="both"/>
        <w:rPr>
          <w:rFonts w:ascii="Arial" w:hAnsi="Arial" w:cs="Arial"/>
          <w:bCs/>
          <w:iCs/>
          <w:sz w:val="24"/>
          <w:szCs w:val="24"/>
        </w:rPr>
      </w:pPr>
    </w:p>
    <w:p w14:paraId="38D5A889" w14:textId="77777777" w:rsidR="000560FF" w:rsidRPr="000560FF" w:rsidRDefault="000560FF" w:rsidP="000560FF">
      <w:pPr>
        <w:spacing w:after="240" w:line="276" w:lineRule="auto"/>
        <w:ind w:firstLine="1418"/>
        <w:jc w:val="both"/>
        <w:rPr>
          <w:rFonts w:ascii="Arial" w:hAnsi="Arial" w:cs="Arial"/>
          <w:bCs/>
          <w:iCs/>
          <w:sz w:val="24"/>
          <w:szCs w:val="24"/>
        </w:rPr>
      </w:pPr>
    </w:p>
    <w:p w14:paraId="77AF74D8"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lastRenderedPageBreak/>
        <w:t>Capítulo III - Da Organização e Estrutura do Orçamento</w:t>
      </w:r>
    </w:p>
    <w:p w14:paraId="442CAFF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4º</w:t>
      </w:r>
      <w:r w:rsidRPr="000560FF">
        <w:rPr>
          <w:rFonts w:ascii="Arial" w:hAnsi="Arial" w:cs="Arial"/>
          <w:bCs/>
          <w:iCs/>
          <w:sz w:val="24"/>
          <w:szCs w:val="24"/>
        </w:rPr>
        <w:t xml:space="preserve"> Na lei de orçamento, a despesa será discriminada por órgão, unidade orçamentária, função, subfunção, programa, ação orçamentária e natureza de </w:t>
      </w:r>
      <w:proofErr w:type="gramStart"/>
      <w:r w:rsidRPr="000560FF">
        <w:rPr>
          <w:rFonts w:ascii="Arial" w:hAnsi="Arial" w:cs="Arial"/>
          <w:bCs/>
          <w:iCs/>
          <w:sz w:val="24"/>
          <w:szCs w:val="24"/>
        </w:rPr>
        <w:t>despesa,  detalhada</w:t>
      </w:r>
      <w:proofErr w:type="gramEnd"/>
      <w:r w:rsidRPr="000560FF">
        <w:rPr>
          <w:rFonts w:ascii="Arial" w:hAnsi="Arial" w:cs="Arial"/>
          <w:bCs/>
          <w:iCs/>
          <w:sz w:val="24"/>
          <w:szCs w:val="24"/>
        </w:rPr>
        <w:t xml:space="preserve"> até o nível de elemento.</w:t>
      </w:r>
    </w:p>
    <w:p w14:paraId="01672A1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O conceito de órgão corresponde ao maior nível da classificação institucional, que tem por finalidade agrupar unidades orçamentárias.</w:t>
      </w:r>
    </w:p>
    <w:p w14:paraId="6DC57C6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O conceito de unidade orçamentária corresponde ao menor nível da classificação institucional e sua classificação atenderá, no que couber, ao disposto no art. 14 da Lei Federal nº 4.320/64. </w:t>
      </w:r>
    </w:p>
    <w:p w14:paraId="4C427E6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Os conceitos de função, subfunção, programa, projeto, atividade e operação especial são aqueles dispostos na Portaria n.º 42 do Ministério do Planejamento, Orçamento e Gestão, de 14 de abril de 1999, e em suas alterações.</w:t>
      </w:r>
    </w:p>
    <w:p w14:paraId="2DF7BB3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14:paraId="13D4F9C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5º As operações especiais relacionadas ao pagamento de encargos gerais do Município, serão consignadas em unidade orçamentária específica.</w:t>
      </w:r>
    </w:p>
    <w:p w14:paraId="6C7E285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14:paraId="3EDF946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5º</w:t>
      </w:r>
      <w:r w:rsidRPr="000560FF">
        <w:rPr>
          <w:rFonts w:ascii="Arial" w:hAnsi="Arial" w:cs="Arial"/>
          <w:bCs/>
          <w:iCs/>
          <w:sz w:val="24"/>
          <w:szCs w:val="24"/>
        </w:rPr>
        <w:t xml:space="preserve"> Independentemente da natureza de despesa em que for classificado, todo e qualquer crédito orçamentário deve ser consignado diretamente à unidade orçamentária à qual pertencem as ações correspondentes.</w:t>
      </w:r>
    </w:p>
    <w:p w14:paraId="224C65B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As operações entre órgãos, fundos e entidades previstas nos Orçamentos Fiscal, que demandem emissão de empenho, serão executadas nos termos da Lei Federal nº 4.320/1964, utilizando-se a modalidade de aplicação 91 – Aplicação Direta Decorrente de Operação entre Órgãos, Fundos e Entidades Integrantes do Orçamento Fiscal.</w:t>
      </w:r>
    </w:p>
    <w:p w14:paraId="67E70FD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6º</w:t>
      </w:r>
      <w:r w:rsidRPr="000560FF">
        <w:rPr>
          <w:rFonts w:ascii="Arial" w:hAnsi="Arial" w:cs="Arial"/>
          <w:bCs/>
          <w:iCs/>
          <w:sz w:val="24"/>
          <w:szCs w:val="24"/>
        </w:rPr>
        <w:t xml:space="preserve"> O orçamento fiscal compreenderá o conjunto das receitas públicas, bem como das despesas dos Poderes do Município, seus fundos, órgãos e entidades da Administração Direta e Indireta, inclusive fundações </w:t>
      </w:r>
      <w:r w:rsidRPr="000560FF">
        <w:rPr>
          <w:rFonts w:ascii="Arial" w:hAnsi="Arial" w:cs="Arial"/>
          <w:bCs/>
          <w:iCs/>
          <w:sz w:val="24"/>
          <w:szCs w:val="24"/>
        </w:rPr>
        <w:lastRenderedPageBreak/>
        <w:t>instituídas e mantidas pelo Município, devendo a correspondente execução ser registrada no sistema Integrado de execução orçamentária e financeira a que se refere o art. 48, § 6o, da Lei Complementar nº 101/2000.</w:t>
      </w:r>
    </w:p>
    <w:p w14:paraId="2656CC2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7º</w:t>
      </w:r>
      <w:r w:rsidRPr="000560FF">
        <w:rPr>
          <w:rFonts w:ascii="Arial" w:hAnsi="Arial" w:cs="Arial"/>
          <w:bCs/>
          <w:iCs/>
          <w:sz w:val="24"/>
          <w:szCs w:val="24"/>
        </w:rPr>
        <w:t xml:space="preserve"> O Projeto de Lei Orçamentária Anual será encaminhado ao Poder Legislativo, conforme estabelecido no § 5º do art. 165 da Constituição Federal, no art ___ da Lei Orgânica do Município e no art. 2º, da Lei Federal nº 4.320/1964.</w:t>
      </w:r>
    </w:p>
    <w:p w14:paraId="6AE3888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Integrarão a Proposta Orçamentária e a respectiva Lei Orçamentária, além dos quadros exigidos pela legislação federal: </w:t>
      </w:r>
    </w:p>
    <w:p w14:paraId="35F8928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discriminação da legislação básica da receita e da despesa dos orçamentos fiscais;</w:t>
      </w:r>
    </w:p>
    <w:p w14:paraId="1C19506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demonstrativo da evolução da receita, por origem, em atendimento ao disposto no art. 12 da Lei Complementar nº 101/2000;</w:t>
      </w:r>
    </w:p>
    <w:p w14:paraId="122D7A3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demonstrativo da estimativa e compensação da renúncia de receita e da margem de expansão das despesas obrigatórias de caráter continuado, de acordo com o art. 5º, inciso II, da Lei Complementar nº 101/2000;</w:t>
      </w:r>
    </w:p>
    <w:p w14:paraId="75B5ABA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quadro que evidencie, em colunas distintas, as receitas por origem e as despesas por grupo de natureza de despesa, dos orçamentos fiscal, conforme art. 165, § 5º, III, da Constituição Federal;</w:t>
      </w:r>
    </w:p>
    <w:p w14:paraId="5586F73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 - demonstrativo da receita por origem e planos de aplicação das despesas dos Fundos Especiais de que trata o art. 2º, § 2º, </w:t>
      </w:r>
      <w:proofErr w:type="gramStart"/>
      <w:r w:rsidRPr="000560FF">
        <w:rPr>
          <w:rFonts w:ascii="Arial" w:hAnsi="Arial" w:cs="Arial"/>
          <w:bCs/>
          <w:iCs/>
          <w:sz w:val="24"/>
          <w:szCs w:val="24"/>
        </w:rPr>
        <w:t>I,  da</w:t>
      </w:r>
      <w:proofErr w:type="gramEnd"/>
      <w:r w:rsidRPr="000560FF">
        <w:rPr>
          <w:rFonts w:ascii="Arial" w:hAnsi="Arial" w:cs="Arial"/>
          <w:bCs/>
          <w:iCs/>
          <w:sz w:val="24"/>
          <w:szCs w:val="24"/>
        </w:rPr>
        <w:t xml:space="preserve"> Lei Federal nº 4.320/1964;</w:t>
      </w:r>
    </w:p>
    <w:p w14:paraId="35C5DE4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demonstrativo de compatibilidade da programação do orçamento com a meta de resultado primário, observando-se, quando cabível, o disposto nos §§ 1º e 2º do art. 2º desta Lei;</w:t>
      </w:r>
    </w:p>
    <w:p w14:paraId="02EC3A1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demonstrativo da fixação da despesa com pessoal e encargos sociais, para os Poderes Executivo e Legislativo, confrontando a sua totalização com a receita corrente líquida prevista, conforme metodologia de cálculo prevista na Instrução Normativa nº 18/2021, do Tribunal de Contas do Estado ou da norma que lhe for superveniente;</w:t>
      </w:r>
    </w:p>
    <w:p w14:paraId="3B7D02A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14:paraId="45DAD3E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xml:space="preserve">IX - demonstrativo da previsão da aplicação anual do Município em Ações e Serviços Públicos de Saúde, nos termos da Lei Complementar nº 141/2012; </w:t>
      </w:r>
    </w:p>
    <w:p w14:paraId="76FF0CB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X - demonstrativo dos instrumentos de programação a serem financiados com recursos de operações de crédito realizadas e a realizar;</w:t>
      </w:r>
    </w:p>
    <w:p w14:paraId="3198C31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XI - demonstrativo do cálculo do limite máximo da despesa do Poder Legislativo, conforme o artigo 29-A da Constituição Federal, observado o disposto no § 2º do art. 13 desta Lei.</w:t>
      </w:r>
    </w:p>
    <w:p w14:paraId="4C81431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8º</w:t>
      </w:r>
      <w:r w:rsidRPr="000560FF">
        <w:rPr>
          <w:rFonts w:ascii="Arial" w:hAnsi="Arial" w:cs="Arial"/>
          <w:bCs/>
          <w:iCs/>
          <w:sz w:val="24"/>
          <w:szCs w:val="24"/>
        </w:rPr>
        <w:t xml:space="preserve"> A mensagem que encaminhar o projeto de lei orçamentária anual conterá:</w:t>
      </w:r>
    </w:p>
    <w:p w14:paraId="15F88FB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relato sucinto da situação econômica e financeira do Município e projeções para o próximo exercício, com destaque, se for o caso, para o comprometimento da receita corrente líquida com o pagamento da dívida;</w:t>
      </w:r>
    </w:p>
    <w:p w14:paraId="7BAF4E8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resumo da política econômica e social do Governo;</w:t>
      </w:r>
    </w:p>
    <w:p w14:paraId="0F6571F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memória de cálculo e justificativa da estimativa da receita e da fixação da despesa, observando-se, no que couber, ao disposto nos arts. 22, I, 39 e 30 da Lei Federal nº 4.320/1964 e no art. 12 da Lei Complementar nº 101/2000.</w:t>
      </w:r>
    </w:p>
    <w:p w14:paraId="41D18BD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demonstrativo da dívida fundada, assim como da evolução do seu estoque nos últimos três anos, a situação provável no final de 2022 e a previsão para o exercício de 2023;</w:t>
      </w:r>
    </w:p>
    <w:p w14:paraId="1EEF582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 - relação dos precatórios a serem cumpridos com as dotações para tal fim constantes na proposta orçamentária;</w:t>
      </w:r>
    </w:p>
    <w:p w14:paraId="5F16ADB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0412E02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9º.</w:t>
      </w:r>
      <w:r w:rsidRPr="000560FF">
        <w:rPr>
          <w:rFonts w:ascii="Arial" w:hAnsi="Arial" w:cs="Arial"/>
          <w:bCs/>
          <w:iCs/>
          <w:sz w:val="24"/>
          <w:szCs w:val="24"/>
        </w:rPr>
        <w:t xml:space="preserve"> Deverão ser discriminadas em ações orçamentárias específicas as dotações destinadas:</w:t>
      </w:r>
    </w:p>
    <w:p w14:paraId="632E2B7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às ações de alimentação escolar;</w:t>
      </w:r>
    </w:p>
    <w:p w14:paraId="7D46FC6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às ações de transporte escolar;</w:t>
      </w:r>
    </w:p>
    <w:p w14:paraId="274ECD4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à concessão de subvenções econômicas e subsídios a pessoas físicas e jurídicas com finalidade lucrativa;</w:t>
      </w:r>
    </w:p>
    <w:p w14:paraId="1525AAA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IV – à concessão de subvenções sociais, contribuições correntes, contribuições de capital e auxílios a entidades privadas sem fins lucrativos;</w:t>
      </w:r>
    </w:p>
    <w:p w14:paraId="6110B9A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 – à transferência de recursos para Consórcios Públicos em decorrência de contrato de rateio;</w:t>
      </w:r>
    </w:p>
    <w:p w14:paraId="59AF5EE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ao pagamento de sentenças judiciais;</w:t>
      </w:r>
    </w:p>
    <w:p w14:paraId="37D9EF2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às despesas com publicidade institucional;</w:t>
      </w:r>
    </w:p>
    <w:p w14:paraId="3EB8C6C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VIII – às despesas com amortização, juros e encargos da dívida pública;</w:t>
      </w:r>
    </w:p>
    <w:p w14:paraId="51AF3DD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IX - ao custeio, pelo Município, de despesas de competência de outros entes da Federação, observado o disposto no art.  62 desta Lei. </w:t>
      </w:r>
    </w:p>
    <w:p w14:paraId="4AE4A17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Art.10.</w:t>
      </w:r>
      <w:r w:rsidRPr="000560FF">
        <w:rPr>
          <w:rFonts w:ascii="Arial" w:hAnsi="Arial" w:cs="Arial"/>
          <w:bCs/>
          <w:iCs/>
          <w:sz w:val="24"/>
          <w:szCs w:val="24"/>
        </w:rPr>
        <w:t xml:space="preserve"> A Reserva de Contingência para fins de atendimento dos riscos fiscais especificados no Anexo II desta Lei será constituída com recursos não vinculados, e será fixada em, no mínimo, 0,5% </w:t>
      </w:r>
      <w:proofErr w:type="gramStart"/>
      <w:r w:rsidRPr="000560FF">
        <w:rPr>
          <w:rFonts w:ascii="Arial" w:hAnsi="Arial" w:cs="Arial"/>
          <w:bCs/>
          <w:iCs/>
          <w:sz w:val="24"/>
          <w:szCs w:val="24"/>
        </w:rPr>
        <w:t>( meio</w:t>
      </w:r>
      <w:proofErr w:type="gramEnd"/>
      <w:r w:rsidRPr="000560FF">
        <w:rPr>
          <w:rFonts w:ascii="Arial" w:hAnsi="Arial" w:cs="Arial"/>
          <w:bCs/>
          <w:iCs/>
          <w:sz w:val="24"/>
          <w:szCs w:val="24"/>
        </w:rPr>
        <w:t xml:space="preserve"> por cento) da receita corrente líquida.</w:t>
      </w:r>
    </w:p>
    <w:p w14:paraId="401276A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Para fins de utilização dos recursos a que se refere o caput, considera-se como evento fiscal imprevisto, a que se refere a alínea “b” do inciso III do caput do art. 5º da Lei Complementar nº 101/2000, a abertura de créditos adicionais para o atendimento de despesas não previstas ou insuficientemente dotadas na Lei Orçamentária.</w:t>
      </w:r>
    </w:p>
    <w:p w14:paraId="1F5F595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Além da Reserva de Contingência referida no caput, o Projeto de Lei Orçamentária conterá reservas para o atendimento de programações decorrentes de emendas parlamentares que forem aprovadas nos termos dos Artigos 33 a 37 desta Lei.</w:t>
      </w:r>
    </w:p>
    <w:p w14:paraId="27F207B7" w14:textId="77777777" w:rsidR="000560FF" w:rsidRPr="000560FF" w:rsidRDefault="000560FF" w:rsidP="000560FF">
      <w:pPr>
        <w:spacing w:after="240" w:line="276" w:lineRule="auto"/>
        <w:jc w:val="both"/>
        <w:rPr>
          <w:rFonts w:ascii="Arial" w:hAnsi="Arial" w:cs="Arial"/>
          <w:bCs/>
          <w:iCs/>
          <w:sz w:val="24"/>
          <w:szCs w:val="24"/>
        </w:rPr>
      </w:pPr>
    </w:p>
    <w:p w14:paraId="0B1EAD0F"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IV - Das Diretrizes para Elaboração e Execução do Orçamento e suas Alterações</w:t>
      </w:r>
    </w:p>
    <w:p w14:paraId="32E1C70E"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I - Das Diretrizes Gerais</w:t>
      </w:r>
    </w:p>
    <w:p w14:paraId="1A9E3D2E" w14:textId="77777777" w:rsidR="000560FF" w:rsidRPr="000560FF" w:rsidRDefault="000560FF" w:rsidP="000560FF">
      <w:pPr>
        <w:spacing w:after="240" w:line="276" w:lineRule="auto"/>
        <w:rPr>
          <w:rFonts w:ascii="Arial" w:hAnsi="Arial" w:cs="Arial"/>
          <w:b/>
          <w:iCs/>
          <w:sz w:val="24"/>
          <w:szCs w:val="24"/>
        </w:rPr>
      </w:pPr>
    </w:p>
    <w:p w14:paraId="439DC01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11.</w:t>
      </w:r>
      <w:r w:rsidRPr="000560FF">
        <w:rPr>
          <w:rFonts w:ascii="Arial" w:hAnsi="Arial" w:cs="Arial"/>
          <w:bCs/>
          <w:iCs/>
          <w:sz w:val="24"/>
          <w:szCs w:val="24"/>
        </w:rPr>
        <w:t xml:space="preserve"> Os órgãos da Administração Indireta e o Poder Legislativo encaminharão à Secretaria da Fazenda, até 30 de Setembro de 2022, suas respectivas propostas orçamentárias, para fins de consolidação do Projeto de Lei Orçamentária, observadas as disposições desta Lei. </w:t>
      </w:r>
    </w:p>
    <w:p w14:paraId="15DE020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 prazo estabelecido no caput também se aplica ao respectivo conselho, em relação às deliberações que, por força de norma </w:t>
      </w:r>
      <w:r w:rsidRPr="000560FF">
        <w:rPr>
          <w:rFonts w:ascii="Arial" w:hAnsi="Arial" w:cs="Arial"/>
          <w:bCs/>
          <w:iCs/>
          <w:sz w:val="24"/>
          <w:szCs w:val="24"/>
        </w:rPr>
        <w:lastRenderedPageBreak/>
        <w:t>legal, devem efetuar em relação às propostas de aplicação dos recursos vinculados:</w:t>
      </w:r>
    </w:p>
    <w:p w14:paraId="0101773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ao Fundo Municipal de Saúde - FMS;</w:t>
      </w:r>
    </w:p>
    <w:p w14:paraId="3046CE7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ao Fundo Municipal de Assistência Social - FMAS;</w:t>
      </w:r>
    </w:p>
    <w:p w14:paraId="276CB85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ao Fundo Municipal dos Direitos da Criança e do Adolescente - FMDCA;</w:t>
      </w:r>
    </w:p>
    <w:p w14:paraId="10E92E5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ao Fundo Municipal do Idoso – FM Idoso; e</w:t>
      </w:r>
    </w:p>
    <w:p w14:paraId="5CA3DFC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 – ao Fundo de Manutenção e Desenvolvimento da Educação Básica e de Valorização dos Profissionais da Educação (Fundeb); </w:t>
      </w:r>
    </w:p>
    <w:p w14:paraId="15CC32B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ao Fundo Municipal do Turismo;</w:t>
      </w:r>
    </w:p>
    <w:p w14:paraId="55C263C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ao Fundo Municipal de Segurança Pública;</w:t>
      </w:r>
    </w:p>
    <w:p w14:paraId="1D7BC11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VIII - ao Fundo de Assessoria Jurídica Municipal;</w:t>
      </w:r>
    </w:p>
    <w:p w14:paraId="2FAA338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IX – ao Fundo Municipal das Pessoas Portadoras de Deficiência;</w:t>
      </w:r>
    </w:p>
    <w:p w14:paraId="2F872B5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X - ao Fundo Municipal do Turismo;</w:t>
      </w:r>
    </w:p>
    <w:p w14:paraId="6F96810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XI - ao Fundo Municipal de Segurança Pública;</w:t>
      </w:r>
    </w:p>
    <w:p w14:paraId="7BE0838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12.</w:t>
      </w:r>
      <w:r w:rsidRPr="000560FF">
        <w:rPr>
          <w:rFonts w:ascii="Arial" w:hAnsi="Arial" w:cs="Arial"/>
          <w:bCs/>
          <w:iCs/>
          <w:sz w:val="24"/>
          <w:szCs w:val="24"/>
        </w:rPr>
        <w:t xml:space="preserve">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6F23468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14:paraId="3755C3E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 Câmara Municipal organizará audiência(s) pública(s) para discussão da proposta orçamentária durante o processo de sua apreciação e aprovação.</w:t>
      </w:r>
    </w:p>
    <w:p w14:paraId="7049F99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Se por questões de saúde pública devidamente regulamentadas houver medida restritiva à circulação e reunião de pessoas, as audiências públicas de que trata este artigo poderão ser realizadas de forma virtual, mediante o uso de tecnologias que permitam a participação de qualquer interessado.</w:t>
      </w:r>
    </w:p>
    <w:p w14:paraId="60F9134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lastRenderedPageBreak/>
        <w:t>Art. 13</w:t>
      </w:r>
      <w:r w:rsidRPr="000560FF">
        <w:rPr>
          <w:rFonts w:ascii="Arial" w:hAnsi="Arial" w:cs="Arial"/>
          <w:bCs/>
          <w:iCs/>
          <w:sz w:val="24"/>
          <w:szCs w:val="24"/>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2023. </w:t>
      </w:r>
    </w:p>
    <w:p w14:paraId="4E65B40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14:paraId="2EB9637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Para fins da fixação da despesa orçamentária da Câmara Municipal, observado os limites estabelecidos no art. 29-A da Constituição Federal e a metodologia de cálculo estabelecida pela Instrução Normativa nº 18/2021 do Tribunal de Contas do Estado ou da norma que lhe for superveniente, considerar-se-á a receita arrecadada até mês de Agosto, acrescida da tendência de arrecadação até o final do exercício.</w:t>
      </w:r>
    </w:p>
    <w:p w14:paraId="19289E2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14</w:t>
      </w:r>
      <w:r w:rsidRPr="000560FF">
        <w:rPr>
          <w:rFonts w:ascii="Arial" w:hAnsi="Arial" w:cs="Arial"/>
          <w:bCs/>
          <w:iCs/>
          <w:sz w:val="24"/>
          <w:szCs w:val="24"/>
        </w:rPr>
        <w:t>. Observado o disposto no art. 45 da Lei Complementar nº 101/2000, somente serão destinadas dotações para novos projetos para investimentos se:</w:t>
      </w:r>
    </w:p>
    <w:p w14:paraId="4648D9B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tiverem sido adequada e suficientemente contempladas as despesas para conservação do patrimônio público e para os projetos em andamento, constantes do Anexo IV desta Lei;</w:t>
      </w:r>
    </w:p>
    <w:p w14:paraId="73D4681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 ação estiver compatível com o Plano Plurianual.</w:t>
      </w:r>
    </w:p>
    <w:p w14:paraId="36AA1FC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14:paraId="37931FF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15.</w:t>
      </w:r>
      <w:r w:rsidRPr="000560FF">
        <w:rPr>
          <w:rFonts w:ascii="Arial" w:hAnsi="Arial" w:cs="Arial"/>
          <w:bCs/>
          <w:iCs/>
          <w:sz w:val="24"/>
          <w:szCs w:val="24"/>
        </w:rPr>
        <w:t xml:space="preserve">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14:paraId="223D2EE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Para efeito do disposto no art. 16, § 3º, da Lei Complementar nº 101/2000, entendem-se como despesas irrelevantes aquelas cujo valor no exercício financeiro de 2023, em cada evento de contratação, não ultrapasse o limite estabelecido para dispensa de licitação de que trata o art. 75, inciso II, da Lei Federal nº 14.133/2021.</w:t>
      </w:r>
    </w:p>
    <w:p w14:paraId="203E13C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2º No caso de despesas com pessoal e respectivos encargos, desde que não configurem geração de despesa obrigatória de caráter continuado, serão consideradas irrelevantes aquelas cujo montante, em cada evento de admissão, não exceda a 30 vezes o menor padrão de vencimentos.</w:t>
      </w:r>
    </w:p>
    <w:p w14:paraId="0889F01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16.</w:t>
      </w:r>
      <w:r w:rsidRPr="000560FF">
        <w:rPr>
          <w:rFonts w:ascii="Arial" w:hAnsi="Arial" w:cs="Arial"/>
          <w:bCs/>
          <w:iCs/>
          <w:sz w:val="24"/>
          <w:szCs w:val="24"/>
        </w:rPr>
        <w:t xml:space="preserve"> Deverão ser observados os seguintes requisitos, no caso de aumento de despesas decorrentes da criação, expansão ou aperfeiçoamento de ação governamental:</w:t>
      </w:r>
    </w:p>
    <w:p w14:paraId="2ECD908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se for obrigatória de caráter continuado, cumprir os requisitos previstos no art. 16 da Lei Complementar nº 101/2000 e estar acompanhada de medidas de compensação, no exercício em que entre em vigor e nos dois exercícios subsequentes, por meio de:</w:t>
      </w:r>
    </w:p>
    <w:p w14:paraId="1F2E7EE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a) aumento de receita, proveniente de elevação de alíquotas, ampliação da base de cálculo, majoração ou criação de tributo ou contribuição; ou </w:t>
      </w:r>
    </w:p>
    <w:p w14:paraId="55C676E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redução permanente de despesas.</w:t>
      </w:r>
    </w:p>
    <w:p w14:paraId="39CC246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se não for obrigatória de caráter continuado, cumprir os requisitos previstos no art. 16 da Lei Complementar nº 101/2000, dispensada a apresentação de medida compensatória.</w:t>
      </w:r>
    </w:p>
    <w:p w14:paraId="679C7A5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No caso de criação ou aumentos de despesas decorrentes de ações destinadas ao combate de situação de calamidade pública, aplicam-se, no que couber, as disposições do art. 65, § 1º, III, da Lei Complementar nº 101/2000.</w:t>
      </w:r>
    </w:p>
    <w:p w14:paraId="790F863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17.</w:t>
      </w:r>
      <w:r w:rsidRPr="000560FF">
        <w:rPr>
          <w:rFonts w:ascii="Arial" w:hAnsi="Arial" w:cs="Arial"/>
          <w:bCs/>
          <w:iCs/>
          <w:sz w:val="24"/>
          <w:szCs w:val="24"/>
        </w:rPr>
        <w:t xml:space="preserve">  O controle de custos e avaliação dos resultados dos programas financiados com recursos dos orçamentos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14:paraId="639E02C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Os custos serão apurados e avaliados através das operações orçamentárias, tomando-se por base, a comparação entre as despesas autorizadas e liquidadas, bem como a comparação entre as metas físicas previstas e as realizadas.</w:t>
      </w:r>
    </w:p>
    <w:p w14:paraId="3FDCF7F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Caberá À Secretaria da Fazenda organizar a formação de Grupos Setoriais de Custos, oportunizando o acesso a treinamentos, reuniões técnicas e outros eventos a serem realizados com vistas ao aperfeiçoamento da gestão de custos na Administração Pública Municipal.</w:t>
      </w:r>
    </w:p>
    <w:p w14:paraId="1B22762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3º As informações sobre a previsão e execução física e financeira dos programas finalísticos, cujos totalidade de recursos contemplados no respectivo orçamento seja superior a R$ 500.000,00 (quinhentos mil reais) deverão ser objeto de capítulo específico no relatório de avaliação das metas fiscais do último quadrimestre do exercício, a ser apresentado em audiência pública na forma do art. 25 desta Lei.</w:t>
      </w:r>
    </w:p>
    <w:p w14:paraId="141ACC4C" w14:textId="77777777" w:rsidR="000560FF" w:rsidRPr="000560FF" w:rsidRDefault="000560FF" w:rsidP="000560FF">
      <w:pPr>
        <w:spacing w:after="240" w:line="276" w:lineRule="auto"/>
        <w:ind w:firstLine="1418"/>
        <w:jc w:val="both"/>
        <w:rPr>
          <w:rFonts w:ascii="Arial" w:hAnsi="Arial" w:cs="Arial"/>
          <w:bCs/>
          <w:iCs/>
          <w:sz w:val="24"/>
          <w:szCs w:val="24"/>
        </w:rPr>
      </w:pPr>
    </w:p>
    <w:p w14:paraId="631C4032"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II - Da programação financeira e limitação de empenhos</w:t>
      </w:r>
    </w:p>
    <w:p w14:paraId="4DD7AE08" w14:textId="77777777" w:rsidR="000560FF" w:rsidRPr="000560FF" w:rsidRDefault="000560FF" w:rsidP="000560FF">
      <w:pPr>
        <w:spacing w:after="240" w:line="276" w:lineRule="auto"/>
        <w:ind w:firstLine="1418"/>
        <w:jc w:val="both"/>
        <w:rPr>
          <w:rFonts w:ascii="Arial" w:hAnsi="Arial" w:cs="Arial"/>
          <w:bCs/>
          <w:iCs/>
          <w:sz w:val="24"/>
          <w:szCs w:val="24"/>
        </w:rPr>
      </w:pPr>
    </w:p>
    <w:p w14:paraId="663C4A0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18.</w:t>
      </w:r>
      <w:r w:rsidRPr="000560FF">
        <w:rPr>
          <w:rFonts w:ascii="Arial" w:hAnsi="Arial" w:cs="Arial"/>
          <w:bCs/>
          <w:iCs/>
          <w:sz w:val="24"/>
          <w:szCs w:val="24"/>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 </w:t>
      </w:r>
    </w:p>
    <w:p w14:paraId="31F03E8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O ato referido no caput deste artigo e os que o modificarem conterá:</w:t>
      </w:r>
    </w:p>
    <w:p w14:paraId="689B173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metas quadrimestrais para o resultado primário acima da linha, que servirão de parâmetro para a avaliação de que trata o art. 9º, § 4º da Lei Complementar nº 101/2000;</w:t>
      </w:r>
    </w:p>
    <w:p w14:paraId="20D7250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78B3406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cronograma de desembolso mensal de despesas, por órgão e unidade orçamentária.</w:t>
      </w:r>
    </w:p>
    <w:p w14:paraId="0FBB5DC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14:paraId="22088BF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19.</w:t>
      </w:r>
      <w:r w:rsidRPr="000560FF">
        <w:rPr>
          <w:rFonts w:ascii="Arial" w:hAnsi="Arial" w:cs="Arial"/>
          <w:bCs/>
          <w:iCs/>
          <w:sz w:val="24"/>
          <w:szCs w:val="24"/>
        </w:rPr>
        <w:t xml:space="preserve">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14:paraId="3CEDFD7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I – contrapartida para projetos ou atividades vinculados a recursos oriundos de fontes extraordinárias, como transferências voluntárias, operações de crédito, alienação de ativos, desde que ainda não comprometidos;</w:t>
      </w:r>
    </w:p>
    <w:p w14:paraId="112262D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obras em geral, cuja fase ou etapa ainda não esteja iniciada;</w:t>
      </w:r>
    </w:p>
    <w:p w14:paraId="6F361E4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aquisição de combustíveis e derivados, destinada à frota de veículos, exceto das secretarias de Saúde e Educação;</w:t>
      </w:r>
    </w:p>
    <w:p w14:paraId="0A33892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IV - dotação para materiais de consumo e serviços de terceiros das diversas atividades; </w:t>
      </w:r>
    </w:p>
    <w:p w14:paraId="762108B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 - diárias de viagem; </w:t>
      </w:r>
    </w:p>
    <w:p w14:paraId="6C5817C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festividades, homenagens, recepções e demais eventos da mesma natureza;</w:t>
      </w:r>
    </w:p>
    <w:p w14:paraId="0A94988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despesas com publicidade institucional;</w:t>
      </w:r>
    </w:p>
    <w:p w14:paraId="01ACB3F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VIII - horas extras.</w:t>
      </w:r>
    </w:p>
    <w:p w14:paraId="598199D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Na avaliação do cumprimento das metas bimestrais de arrecadação para implementação ou não do mecanismo da limitação de empenho e movimentação financeira, será considerado ainda o resultado financeiro apurado no Balanço Patrimonial do exercício de 2022, observada a vinculação de recursos.</w:t>
      </w:r>
    </w:p>
    <w:p w14:paraId="5BF6EDD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Não serão objeto de limitação de empenho:</w:t>
      </w:r>
    </w:p>
    <w:p w14:paraId="2B107A0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despesas relacionadas com vinculações constitucionais e legais, nos termos do § 2º do art. 9º da Lei Complementar nº 101/2000 e do art. 28 da Lei Complementar Federal n.º 141, de 13 de janeiro de 2012;</w:t>
      </w:r>
    </w:p>
    <w:p w14:paraId="3226153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as despesas com o pagamento de precatórios e sentenças judiciais de pequeno valor;</w:t>
      </w:r>
    </w:p>
    <w:p w14:paraId="7A09B5E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as despesas fixas e obrigatórias com pessoal e encargos sociais; e</w:t>
      </w:r>
    </w:p>
    <w:p w14:paraId="61952D1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IV - as despesas financiadas com recursos de Transferências Voluntárias da União e do Estado, Operações de Crédito e Alienação de bens, observado o disposto no art. 22 desta Lei. </w:t>
      </w:r>
    </w:p>
    <w:p w14:paraId="32EFF66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3ACD34A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6D698C9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5º Ocorrendo o restabelecimento da receita prevista, a recomposição se fará obedecendo ao disposto no art. 9º, § 1º, da Lei Complementar nº 101/2000.</w:t>
      </w:r>
    </w:p>
    <w:p w14:paraId="0544216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21C13E8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21.</w:t>
      </w:r>
      <w:r w:rsidRPr="000560FF">
        <w:rPr>
          <w:rFonts w:ascii="Arial" w:hAnsi="Arial" w:cs="Arial"/>
          <w:bCs/>
          <w:iCs/>
          <w:sz w:val="24"/>
          <w:szCs w:val="24"/>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14:paraId="0D87EAE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Os rendimentos das aplicações financeiras e outros ingressos orçamentários que venham a ser arrecadados através do Poder Legislativo, serão contabilizados como receita pelo Poder Executivo, tendo como contrapartida o repasse referido no caput deste artigo.</w:t>
      </w:r>
    </w:p>
    <w:p w14:paraId="324A7190" w14:textId="7763F216"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6CF3612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O eventual saldo que não for devolvido no prazo estabelecido no parágrafo anterior, será devidamente registrado na contabilidade e considerado como antecipação de repasse do exercício financeiro de 2024.</w:t>
      </w:r>
    </w:p>
    <w:p w14:paraId="4FE2E5B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22.</w:t>
      </w:r>
      <w:r w:rsidRPr="000560FF">
        <w:rPr>
          <w:rFonts w:ascii="Arial" w:hAnsi="Arial" w:cs="Arial"/>
          <w:bCs/>
          <w:iCs/>
          <w:sz w:val="24"/>
          <w:szCs w:val="24"/>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14:paraId="4E93818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w:t>
      </w:r>
      <w:r w:rsidRPr="000560FF">
        <w:rPr>
          <w:rFonts w:ascii="Arial" w:hAnsi="Arial" w:cs="Arial"/>
          <w:bCs/>
          <w:iCs/>
          <w:sz w:val="24"/>
          <w:szCs w:val="24"/>
        </w:rPr>
        <w:lastRenderedPageBreak/>
        <w:t>aumento dos valores a serem transferidos, não se confundindo com as liberações financeiras de recursos, que devem obedecer ao cronograma de desembolso previsto nos respectivos instrumentos.</w:t>
      </w:r>
    </w:p>
    <w:p w14:paraId="0BDC44E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1C4B076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23.</w:t>
      </w:r>
      <w:r w:rsidRPr="000560FF">
        <w:rPr>
          <w:rFonts w:ascii="Arial" w:hAnsi="Arial" w:cs="Arial"/>
          <w:bCs/>
          <w:iCs/>
          <w:sz w:val="24"/>
          <w:szCs w:val="24"/>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14:paraId="05673BC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Os valores constantes no Projeto de Lei Orçamentária de 2023 poderão ser utilizados, até a sanção da respectiva Lei, para demonstrar a previsão orçamentária nos procedimentos referentes à fase interna da licitação.</w:t>
      </w:r>
    </w:p>
    <w:p w14:paraId="646D20D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24.</w:t>
      </w:r>
      <w:r w:rsidRPr="000560FF">
        <w:rPr>
          <w:rFonts w:ascii="Arial" w:hAnsi="Arial" w:cs="Arial"/>
          <w:bCs/>
          <w:iCs/>
          <w:sz w:val="24"/>
          <w:szCs w:val="24"/>
        </w:rPr>
        <w:t xml:space="preserve"> Para efeito do disposto no § 1º do art. 1º e do art. 42 da Lei Complementar nº 101/2000, considera-se contraída a obrigação, e exigível o empenho da despesa correspondente, no momento da formalização do contrato administrativo ou instrumento congênere.</w:t>
      </w:r>
    </w:p>
    <w:p w14:paraId="49912F3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No caso de despesas relativas a obras e prestação de serviços, consideram-se compromissadas apenas as prestações cujos pagamentos devam ser realizados no exercício financeiro, observado o cronograma pactuado.</w:t>
      </w:r>
    </w:p>
    <w:p w14:paraId="61CC644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Sem prejuízo do disposto no caput, a inscrição ou a manutenção dos restos a pagar subordinam-se ao cumprimento de dispositivos constitucionais e legais que estabeleçam metas fiscais ou limites de despesas, observadas, no que couber, as regras de inscrição e cancelamento de restos a pagar definidas na Instrução Normativa nº 18/2021, do Tribunal de Contas ou norma que lhe for superveniente.</w:t>
      </w:r>
    </w:p>
    <w:p w14:paraId="792F22A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25.</w:t>
      </w:r>
      <w:r w:rsidRPr="000560FF">
        <w:rPr>
          <w:rFonts w:ascii="Arial" w:hAnsi="Arial" w:cs="Arial"/>
          <w:bCs/>
          <w:iCs/>
          <w:sz w:val="24"/>
          <w:szCs w:val="24"/>
        </w:rPr>
        <w:t xml:space="preserve">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2052138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Compete ao Poder Legislativo Municipal, mediante prévio agendamento com o Poder Executivo, convocar e coordenar a realização das audiências públicas referidas no caput.</w:t>
      </w:r>
    </w:p>
    <w:p w14:paraId="07C2E87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Se por questões de saúde pública devidamente regulamentadas houver medida restritiva à circulação e reunião de pessoas, as </w:t>
      </w:r>
      <w:r w:rsidRPr="000560FF">
        <w:rPr>
          <w:rFonts w:ascii="Arial" w:hAnsi="Arial" w:cs="Arial"/>
          <w:bCs/>
          <w:iCs/>
          <w:sz w:val="24"/>
          <w:szCs w:val="24"/>
        </w:rPr>
        <w:lastRenderedPageBreak/>
        <w:t>audiências públicas de que trata este artigo poderão ser realizadas de forma virtual, mediante o uso de tecnologias que permitam a participação de qualquer interessado.</w:t>
      </w:r>
    </w:p>
    <w:p w14:paraId="5B5C3A2D" w14:textId="77777777" w:rsidR="000560FF" w:rsidRPr="000560FF" w:rsidRDefault="000560FF" w:rsidP="000560FF">
      <w:pPr>
        <w:spacing w:after="240" w:line="276" w:lineRule="auto"/>
        <w:ind w:firstLine="1418"/>
        <w:jc w:val="both"/>
        <w:rPr>
          <w:rFonts w:ascii="Arial" w:hAnsi="Arial" w:cs="Arial"/>
          <w:bCs/>
          <w:iCs/>
          <w:sz w:val="24"/>
          <w:szCs w:val="24"/>
        </w:rPr>
      </w:pPr>
    </w:p>
    <w:p w14:paraId="7C30A53D"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IV - Das Alterações da Lei Orçamentária</w:t>
      </w:r>
    </w:p>
    <w:p w14:paraId="71400DA4" w14:textId="77777777" w:rsidR="000560FF" w:rsidRPr="000560FF" w:rsidRDefault="000560FF" w:rsidP="000560FF">
      <w:pPr>
        <w:spacing w:after="240" w:line="276" w:lineRule="auto"/>
        <w:ind w:firstLine="1418"/>
        <w:jc w:val="both"/>
        <w:rPr>
          <w:rFonts w:ascii="Arial" w:hAnsi="Arial" w:cs="Arial"/>
          <w:bCs/>
          <w:iCs/>
          <w:sz w:val="24"/>
          <w:szCs w:val="24"/>
        </w:rPr>
      </w:pPr>
    </w:p>
    <w:p w14:paraId="41584FC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26.</w:t>
      </w:r>
      <w:r w:rsidRPr="000560FF">
        <w:rPr>
          <w:rFonts w:ascii="Arial" w:hAnsi="Arial" w:cs="Arial"/>
          <w:bCs/>
          <w:iCs/>
          <w:sz w:val="24"/>
          <w:szCs w:val="24"/>
        </w:rPr>
        <w:t xml:space="preserve"> A abertura de créditos suplementares e especiais dependerá da existência de recursos disponíveis para a despesa, nos termos da Lei Federal nº 4.320/1964.</w:t>
      </w:r>
    </w:p>
    <w:p w14:paraId="73F9613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A apuração do excesso de arrecadação para fins de abertura de créditos adicionais será realizada por fonte de recursos, conforme exigência contida no art. 8º, parágrafo único, da Lei Complementar nº 101/2000.</w:t>
      </w:r>
    </w:p>
    <w:p w14:paraId="4113E96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33EDEDA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49C32CA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4º Nos casos de abertura de créditos suplementares e especiais à conta de superávit financeiro, as exposições de motivos conterão informações relativas a:</w:t>
      </w:r>
    </w:p>
    <w:p w14:paraId="5F96099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superávit financeiro do exercício de 2022, por fonte de recursos;</w:t>
      </w:r>
    </w:p>
    <w:p w14:paraId="19F9F14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créditos especiais e extraordinários reabertos no exercício de 2023;</w:t>
      </w:r>
    </w:p>
    <w:p w14:paraId="24A9A5A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III – valores do superávit já utilizados em créditos adicionais, abertos ou em tramitação; </w:t>
      </w:r>
    </w:p>
    <w:p w14:paraId="1B43E8D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saldo atualizado do superávit financeiro disponível, por fonte de recursos.</w:t>
      </w:r>
    </w:p>
    <w:p w14:paraId="1748EB7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5º Considera-se superávit financeiro do exercício anterior, para fins do § 2º do art. 43 da Lei Federal nº 4.320/1964, os recursos que forem </w:t>
      </w:r>
      <w:r w:rsidRPr="000560FF">
        <w:rPr>
          <w:rFonts w:ascii="Arial" w:hAnsi="Arial" w:cs="Arial"/>
          <w:bCs/>
          <w:iCs/>
          <w:sz w:val="24"/>
          <w:szCs w:val="24"/>
        </w:rPr>
        <w:lastRenderedPageBreak/>
        <w:t>disponibilizados a partir do cancelamento de restos a pagar, obedecida a fonte de recursos correspondente.</w:t>
      </w:r>
    </w:p>
    <w:p w14:paraId="637DAF6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6º Os créditos adicionais serão abertos conforme detalhamento constante no art. 4.º desta Lei.</w:t>
      </w:r>
    </w:p>
    <w:p w14:paraId="67C01D8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27</w:t>
      </w:r>
      <w:r w:rsidRPr="000560FF">
        <w:rPr>
          <w:rFonts w:ascii="Arial" w:hAnsi="Arial" w:cs="Arial"/>
          <w:bCs/>
          <w:iCs/>
          <w:sz w:val="24"/>
          <w:szCs w:val="24"/>
        </w:rPr>
        <w:t>. No âmbito do Poder Legislativo, a abertura de créditos suplementares autorizados pela Lei Orçamentária Anual, com indicação de recursos compensatórios do próprio órgão, nos termos do art. 43, § 1º, inciso III, da Lei Federal nº 4.320/1964, proceder-se-á por ato do Presidente da Câmara dos Vereadores.</w:t>
      </w:r>
    </w:p>
    <w:p w14:paraId="503A771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28.</w:t>
      </w:r>
      <w:r w:rsidRPr="000560FF">
        <w:rPr>
          <w:rFonts w:ascii="Arial" w:hAnsi="Arial" w:cs="Arial"/>
          <w:bCs/>
          <w:iCs/>
          <w:sz w:val="24"/>
          <w:szCs w:val="24"/>
        </w:rPr>
        <w:t xml:space="preserve">  Quanto necessária, a reabertura dos créditos especiais e extraordinários, conforme disposto no art. 167, § 2º, da Constituição Federal, será efetivada por ato do Poder Executivo.</w:t>
      </w:r>
    </w:p>
    <w:p w14:paraId="6DF7E1D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A codificação da programação objeto da reabertura dos créditos especiais e extraordinários poderá ser adequada à constante da Lei Orçamentária de 2023, desde que não haja alteração da finalidade das ações orçamentárias.</w:t>
      </w:r>
    </w:p>
    <w:p w14:paraId="59A07E5A" w14:textId="504B3DB0"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29.</w:t>
      </w:r>
      <w:r w:rsidRPr="000560FF">
        <w:rPr>
          <w:rFonts w:ascii="Arial" w:hAnsi="Arial" w:cs="Arial"/>
          <w:bCs/>
          <w:iCs/>
          <w:sz w:val="24"/>
          <w:szCs w:val="24"/>
        </w:rPr>
        <w:t xml:space="preserve"> O Poder Executivo poderá, mediante Decreto, transpor, remanejar, transferir ou utilizar, total ou parcialmente, as dotações orçamentárias aprovadas na Lei Orçamentária Anual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14:paraId="7D1C1CD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Para fins do disposto no caput, considera-se:</w:t>
      </w:r>
    </w:p>
    <w:p w14:paraId="3A8B04E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Transposições: deslocamento de dotações orçamentárias entre programas de trabalho alocados dentro do mesmo órgão ou unidade orçamentária;</w:t>
      </w:r>
    </w:p>
    <w:p w14:paraId="0248C12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Remanejamentos: deslocamento de dotações orçamentárias de um órgão para outro ou de uma unidade orçamentária para outra;</w:t>
      </w:r>
    </w:p>
    <w:p w14:paraId="3C26D2D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III – Transferências: deslocamento de dotações de despesas correntes para despesas de capital, ou vice-versa, dentro do mesmo órgão ou unidade orçamentária e do mesmo programa de trabalho. </w:t>
      </w:r>
    </w:p>
    <w:p w14:paraId="3872EAC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14:paraId="2BA6BED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lastRenderedPageBreak/>
        <w:t>Art. 30.</w:t>
      </w:r>
      <w:r w:rsidRPr="000560FF">
        <w:rPr>
          <w:rFonts w:ascii="Arial" w:hAnsi="Arial" w:cs="Arial"/>
          <w:bCs/>
          <w:iCs/>
          <w:sz w:val="24"/>
          <w:szCs w:val="24"/>
        </w:rPr>
        <w:t xml:space="preserve">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36F5494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 disposto no caput também se aplica no caso de ajustes na codificação orçamentária, decorrentes da necessidade de adequação à classificação vigente, desde que não impliquem em mudança de valores e de finalidade da programação.</w:t>
      </w:r>
    </w:p>
    <w:p w14:paraId="7B090194" w14:textId="77777777" w:rsidR="000560FF" w:rsidRPr="000560FF" w:rsidRDefault="000560FF" w:rsidP="000560FF">
      <w:pPr>
        <w:spacing w:after="240" w:line="276" w:lineRule="auto"/>
        <w:ind w:firstLine="1418"/>
        <w:jc w:val="both"/>
        <w:rPr>
          <w:rFonts w:ascii="Arial" w:hAnsi="Arial" w:cs="Arial"/>
          <w:bCs/>
          <w:iCs/>
          <w:sz w:val="24"/>
          <w:szCs w:val="24"/>
        </w:rPr>
      </w:pPr>
    </w:p>
    <w:p w14:paraId="238E9456"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V - Da execução provisória do Projeto de Lei Orçamentária</w:t>
      </w:r>
    </w:p>
    <w:p w14:paraId="2FDD6D9A" w14:textId="77777777" w:rsidR="000560FF" w:rsidRPr="000560FF" w:rsidRDefault="000560FF" w:rsidP="000560FF">
      <w:pPr>
        <w:spacing w:after="240" w:line="276" w:lineRule="auto"/>
        <w:ind w:firstLine="1418"/>
        <w:jc w:val="both"/>
        <w:rPr>
          <w:rFonts w:ascii="Arial" w:hAnsi="Arial" w:cs="Arial"/>
          <w:bCs/>
          <w:iCs/>
          <w:sz w:val="24"/>
          <w:szCs w:val="24"/>
        </w:rPr>
      </w:pPr>
    </w:p>
    <w:p w14:paraId="5CC275E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31.</w:t>
      </w:r>
      <w:r w:rsidRPr="000560FF">
        <w:rPr>
          <w:rFonts w:ascii="Arial" w:hAnsi="Arial" w:cs="Arial"/>
          <w:bCs/>
          <w:iCs/>
          <w:sz w:val="24"/>
          <w:szCs w:val="24"/>
        </w:rPr>
        <w:t xml:space="preserve"> Se o projeto de lei orçamentária não for aprovado até 31 de dezembro de 2022,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14:paraId="2B32DBC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Excetuam-se do disposto no caput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14:paraId="5926B44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Não será interrompido o processamento de despesas com obras em andamento, assim entendidas aquelas constantes no projeto de lei orçamentária cuja execução financeira, até 31 de dezembro de 2022, já tenha ultrapassado 20% (vinte por cento) do valor contratado.</w:t>
      </w:r>
    </w:p>
    <w:p w14:paraId="3CDF67E7" w14:textId="77777777" w:rsidR="000560FF" w:rsidRPr="000560FF" w:rsidRDefault="000560FF" w:rsidP="000560FF">
      <w:pPr>
        <w:spacing w:after="240" w:line="276" w:lineRule="auto"/>
        <w:ind w:firstLine="1418"/>
        <w:jc w:val="both"/>
        <w:rPr>
          <w:rFonts w:ascii="Arial" w:hAnsi="Arial" w:cs="Arial"/>
          <w:bCs/>
          <w:iCs/>
          <w:sz w:val="24"/>
          <w:szCs w:val="24"/>
        </w:rPr>
      </w:pPr>
    </w:p>
    <w:p w14:paraId="61A1EDC5"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VI - Das Disposições Relativas às Emendas ao Projeto de Lei de Orçamento</w:t>
      </w:r>
    </w:p>
    <w:p w14:paraId="1C2B8B24"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I – Disposições Gerais</w:t>
      </w:r>
    </w:p>
    <w:p w14:paraId="4D859F1F" w14:textId="77777777" w:rsidR="000560FF" w:rsidRPr="000560FF" w:rsidRDefault="000560FF" w:rsidP="000560FF">
      <w:pPr>
        <w:spacing w:after="240" w:line="276" w:lineRule="auto"/>
        <w:jc w:val="center"/>
        <w:rPr>
          <w:rFonts w:ascii="Arial" w:hAnsi="Arial" w:cs="Arial"/>
          <w:b/>
          <w:iCs/>
          <w:sz w:val="24"/>
          <w:szCs w:val="24"/>
        </w:rPr>
      </w:pPr>
    </w:p>
    <w:p w14:paraId="1A36473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lastRenderedPageBreak/>
        <w:t>Art. 32.</w:t>
      </w:r>
      <w:r w:rsidRPr="000560FF">
        <w:rPr>
          <w:rFonts w:ascii="Arial" w:hAnsi="Arial" w:cs="Arial"/>
          <w:bCs/>
          <w:iCs/>
          <w:sz w:val="24"/>
          <w:szCs w:val="24"/>
        </w:rPr>
        <w:t xml:space="preserve">  Toda e qualquer e emenda ao projeto de lei orçamentária ou aos projetos de lei que a modifiquem, deverão ser compatíveis com os programas e objetivos da Lei nº 4.950- Plano Plurianual 2022/2025 e com as diretrizes, disposições, prioridades e metas desta Lei. </w:t>
      </w:r>
    </w:p>
    <w:p w14:paraId="2F56285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Não serão admitidas, com a ressalva do inciso III do § 3º do art. 166 da Constituição Federal, as emendas que resultem na diminuição das programações das despesas com pessoal e encargos sociais e com o serviço da dívida.</w:t>
      </w:r>
    </w:p>
    <w:p w14:paraId="1755C5D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Para fins do disposto no § 3º, inciso I, do art. 166 da Constituição, serão consideradas incompatíveis com as diretrizes orçamentárias estabelecidas por esta Lei:</w:t>
      </w:r>
    </w:p>
    <w:p w14:paraId="509423E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as emendas que acarretem a aplicação de recursos abaixo dos gastos mínimos constitucionalmente previstos para a manutenção e desenvolvimento do ensino e com as ações e serviços públicos de saúde;</w:t>
      </w:r>
    </w:p>
    <w:p w14:paraId="5E31F10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as emendas que não preservem as dotações destinadas ao pagamento de sentenças judiciais;</w:t>
      </w:r>
    </w:p>
    <w:p w14:paraId="3CF804B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as emendas que reduzirem o montante de dotações suportadas por recursos oriundos de transferências legais ou voluntárias da União e do Estado, alienação de bens e operações de crédito;</w:t>
      </w:r>
    </w:p>
    <w:p w14:paraId="11D9A74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as emendas que reduzirem em mais de 0,5% (meio por cento) o montante destinado para despesas de conservação do patrimônio público e para os projetos arrolados no Anexo IV desta Lei.</w:t>
      </w:r>
    </w:p>
    <w:p w14:paraId="65F38E4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Para fins do disposto no art. 166, § 8º, da Constituição Federal, serão levados à reserva de contingência os recursos que, em decorrência de veto, emenda ou rejeição do projeto da Lei Orçamentária Anual, ficarem sem despesas correspondentes.</w:t>
      </w:r>
    </w:p>
    <w:p w14:paraId="4BA75107" w14:textId="77777777" w:rsidR="000560FF" w:rsidRPr="000560FF" w:rsidRDefault="000560FF" w:rsidP="000560FF">
      <w:pPr>
        <w:spacing w:after="240" w:line="276" w:lineRule="auto"/>
        <w:ind w:firstLine="1418"/>
        <w:jc w:val="both"/>
        <w:rPr>
          <w:rFonts w:ascii="Arial" w:hAnsi="Arial" w:cs="Arial"/>
          <w:bCs/>
          <w:iCs/>
          <w:sz w:val="24"/>
          <w:szCs w:val="24"/>
        </w:rPr>
      </w:pPr>
    </w:p>
    <w:p w14:paraId="6CDC5BB2"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II - Do Regime de Aprovação e Execução das Emendas Individuais</w:t>
      </w:r>
    </w:p>
    <w:p w14:paraId="5CB6B9EB" w14:textId="77777777" w:rsidR="000560FF" w:rsidRPr="000560FF" w:rsidRDefault="000560FF" w:rsidP="000560FF">
      <w:pPr>
        <w:spacing w:after="240" w:line="276" w:lineRule="auto"/>
        <w:ind w:firstLine="1418"/>
        <w:jc w:val="both"/>
        <w:rPr>
          <w:rFonts w:ascii="Arial" w:hAnsi="Arial" w:cs="Arial"/>
          <w:bCs/>
          <w:iCs/>
          <w:sz w:val="24"/>
          <w:szCs w:val="24"/>
        </w:rPr>
      </w:pPr>
    </w:p>
    <w:p w14:paraId="690748C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33.</w:t>
      </w:r>
      <w:r w:rsidRPr="000560FF">
        <w:rPr>
          <w:rFonts w:ascii="Arial" w:hAnsi="Arial" w:cs="Arial"/>
          <w:bCs/>
          <w:iCs/>
          <w:sz w:val="24"/>
          <w:szCs w:val="24"/>
        </w:rPr>
        <w:t xml:space="preserve"> Sem prejuízo do disposto na Constituição Federal e na Lei Orgânica do Município, o regime de aprovação e execução das emendas individuais ao projeto de lei orçamentária atenderá ao disposto nesta subseção.</w:t>
      </w:r>
    </w:p>
    <w:p w14:paraId="577F12E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34.</w:t>
      </w:r>
      <w:r w:rsidRPr="000560FF">
        <w:rPr>
          <w:rFonts w:ascii="Arial" w:hAnsi="Arial" w:cs="Arial"/>
          <w:bCs/>
          <w:iCs/>
          <w:sz w:val="24"/>
          <w:szCs w:val="24"/>
        </w:rPr>
        <w:t xml:space="preserve"> É obrigatória a execução orçamentária e financeira, de forma equitativa, das programações decorrentes de emendas individuais </w:t>
      </w:r>
      <w:r w:rsidRPr="000560FF">
        <w:rPr>
          <w:rFonts w:ascii="Arial" w:hAnsi="Arial" w:cs="Arial"/>
          <w:bCs/>
          <w:iCs/>
          <w:sz w:val="24"/>
          <w:szCs w:val="24"/>
        </w:rPr>
        <w:lastRenderedPageBreak/>
        <w:t>aprovadas ao projeto de lei orçamentária, observado, na execução, os limites estabelecidos nos §§ 11 e 12 do art. 166 da Constituição.</w:t>
      </w:r>
    </w:p>
    <w:p w14:paraId="41049B8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Considera-se equitativa a execução das programações que atenda, de forma objetiva, igualitária e impessoal, as emendas apresentadas, independentemente da autoria.</w:t>
      </w:r>
    </w:p>
    <w:p w14:paraId="68D0718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1FA0F55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Ressalvada a ocorrência de impedimentos cujo prazo para superação inviabilize reconhecimento da despesa até o final do exercício, a obrigatoriedade de execução orçamentária e financeira de que trata o caput compreende, cumulativamente, o empenho, a liquidação da despesa e o respectivo pagamento.</w:t>
      </w:r>
    </w:p>
    <w:p w14:paraId="7CF07FD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4º Na ocorrência de situação que determine a limitação de empenhos e movimentação financeira nos termos do art. 20 desta Lei, a execução orçamentária das programações orçamentárias das emendas poderá ser reduzida na mesma proporção.</w:t>
      </w:r>
    </w:p>
    <w:p w14:paraId="316448C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35</w:t>
      </w:r>
      <w:r w:rsidRPr="000560FF">
        <w:rPr>
          <w:rFonts w:ascii="Arial" w:hAnsi="Arial" w:cs="Arial"/>
          <w:bCs/>
          <w:iCs/>
          <w:sz w:val="24"/>
          <w:szCs w:val="24"/>
        </w:rPr>
        <w:t>. Para fins de atendimento ao disposto nesta Subseção, constarão no Projeto de Lei Orçamentária as seguintes reservas de contingência:</w:t>
      </w:r>
    </w:p>
    <w:p w14:paraId="6F48914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de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14:paraId="4DFAE16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Para fins de cálculo do valor da Receita Corrente Liquida referida nos incisos I e II do caput, considerar-se-á a metodologia estabelecida na Instrução Normativa nº 18/2021, do Tribunal de Contas do Estado ou a norma que lhe for superveniente.</w:t>
      </w:r>
    </w:p>
    <w:p w14:paraId="2CA53F4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Para apresentação das emendas individuais, o Legislativo observará o que segue:</w:t>
      </w:r>
    </w:p>
    <w:p w14:paraId="5A783B2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no caso das emendas individuais, o valor total por autor será obtido a partir da divisão do montante estabelecido no inciso I do caput pelo número de vereadores com assento da Câmara Municipal;</w:t>
      </w:r>
    </w:p>
    <w:p w14:paraId="5181931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3º É vedada qualquer forma de cessão ou transferência entre vereadores, dos limites de que tratam os incisos I e II do parágrafo anterior. </w:t>
      </w:r>
    </w:p>
    <w:p w14:paraId="72F4D05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4º Não será obrigatória a execução orçamentária e financeira das emendas individuais que desatenderem os critérios estabelecidos nesta subseção, sendo os recursos correspondentes revertidos à reserva de contingência, os quais poderão ser utilizados pelo Poder Executivo para a abertura de créditos adicionais.</w:t>
      </w:r>
    </w:p>
    <w:p w14:paraId="34E9848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36.</w:t>
      </w:r>
      <w:r w:rsidRPr="000560FF">
        <w:rPr>
          <w:rFonts w:ascii="Arial" w:hAnsi="Arial" w:cs="Arial"/>
          <w:bCs/>
          <w:iCs/>
          <w:sz w:val="24"/>
          <w:szCs w:val="24"/>
        </w:rPr>
        <w:t xml:space="preserve"> Para fins do disposto no § 13 do art. 166 da Constituição, serão considerados impedimentos de ordem técnica quaisquer situações ou eventos de ordem fática ou legal que, enquanto não superados, obstam ou suspendem a execução da programação orçamentária das emendas, em consonância com as regras e os princípios que regem a administração pública.</w:t>
      </w:r>
    </w:p>
    <w:p w14:paraId="7D8E10A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Sem prejuízo de outros critérios e procedimentos adicionais que venham a ser estabelecidos em ato do Poder Executivo, são consideradas hipóteses de impedimentos de ordem técnica:</w:t>
      </w:r>
    </w:p>
    <w:p w14:paraId="4E228A5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não indicação, pelo autor da emenda, quando for o caso, do beneficiário e respectivo valor;</w:t>
      </w:r>
    </w:p>
    <w:p w14:paraId="1E21651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não cumprimento pela entidade beneficiária, dos requisitos estabelecidos na Seção VII do Capítulo IV desta Lei, no caso de emendas que proponham transferências de recursos sob a forma de subvenções, auxílios ou contribuições;</w:t>
      </w:r>
    </w:p>
    <w:p w14:paraId="02304CD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III </w:t>
      </w:r>
      <w:proofErr w:type="gramStart"/>
      <w:r w:rsidRPr="000560FF">
        <w:rPr>
          <w:rFonts w:ascii="Arial" w:hAnsi="Arial" w:cs="Arial"/>
          <w:bCs/>
          <w:iCs/>
          <w:sz w:val="24"/>
          <w:szCs w:val="24"/>
        </w:rPr>
        <w:t>-  desistência</w:t>
      </w:r>
      <w:proofErr w:type="gramEnd"/>
      <w:r w:rsidRPr="000560FF">
        <w:rPr>
          <w:rFonts w:ascii="Arial" w:hAnsi="Arial" w:cs="Arial"/>
          <w:bCs/>
          <w:iCs/>
          <w:sz w:val="24"/>
          <w:szCs w:val="24"/>
        </w:rPr>
        <w:t xml:space="preserve"> expressa do beneficiário da emenda;</w:t>
      </w:r>
    </w:p>
    <w:p w14:paraId="1200CF5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incompatibilidade do objeto da emenda com a finalidade do programa ou da ação orçamentária emendada;</w:t>
      </w:r>
    </w:p>
    <w:p w14:paraId="441FF4E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 – no caso de emendas relativas à aquisição de equipamentos ou execução de obras ou instalações:</w:t>
      </w:r>
    </w:p>
    <w:p w14:paraId="19035C2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incompatibilidade do valor proposto com o custo de aquisição dos equipamentos ou, no caso de obras, com o cronograma físico financeiro de execução do projeto que permita, no mínimo, a conclusão de etapa útil com funcionalidade que permita o usufruto dos benefícios pela sociedade;</w:t>
      </w:r>
    </w:p>
    <w:p w14:paraId="30F1E40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ausência de projeto de engenharia aprovado pelo órgão responsável, nos casos em que for necessário;</w:t>
      </w:r>
    </w:p>
    <w:p w14:paraId="4AC6E24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c) a ausência de licença ambiental prévia, nos casos em que for necessária;</w:t>
      </w:r>
    </w:p>
    <w:p w14:paraId="4AE3749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d) não comprovação, por parte do órgão ou entidade beneficiada pela emenda, da capacidade de aportar recursos para manutenção e operação do empreendimento, após a sua conclusão;</w:t>
      </w:r>
    </w:p>
    <w:p w14:paraId="12FBB00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xml:space="preserve">VI –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 </w:t>
      </w:r>
    </w:p>
    <w:p w14:paraId="5C9DA03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VII – a não indicação pelos autores das Reservas de Contingência referidas nos incisos I e II art. 35 desta Lei, como fonte de recursos para, respectivamente, atender </w:t>
      </w:r>
      <w:proofErr w:type="gramStart"/>
      <w:r w:rsidRPr="000560FF">
        <w:rPr>
          <w:rFonts w:ascii="Arial" w:hAnsi="Arial" w:cs="Arial"/>
          <w:bCs/>
          <w:iCs/>
          <w:sz w:val="24"/>
          <w:szCs w:val="24"/>
        </w:rPr>
        <w:t>as  emendas</w:t>
      </w:r>
      <w:proofErr w:type="gramEnd"/>
      <w:r w:rsidRPr="000560FF">
        <w:rPr>
          <w:rFonts w:ascii="Arial" w:hAnsi="Arial" w:cs="Arial"/>
          <w:bCs/>
          <w:iCs/>
          <w:sz w:val="24"/>
          <w:szCs w:val="24"/>
        </w:rPr>
        <w:t xml:space="preserve"> individuais;</w:t>
      </w:r>
    </w:p>
    <w:p w14:paraId="261922D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Em atendimento ao disposto no § 14 do art. 166 da Constituição, com o fim de viabilizar a execução das programações incluídas por emendas individuais, até 90 (noventa) dias após a publicação da Lei Orçamentária, o Poder Executivo estabelecerá, em decreto, o cronograma para análise e verificação de eventuais impedimentos das programações aprovadas pelo Legislativo e demais procedimentos necessários à viabilização da execução das emendas de que trata esta subseção.</w:t>
      </w:r>
    </w:p>
    <w:p w14:paraId="2D5B8F4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Inexistindo impedimento de ordem técnica ou tão logo o óbice seja superado, os órgãos e as unidades deverão, nos termos do Decreto referido do parágrafo anterior, adotar os meios e as medidas necessários à execução das programações, observados os limites da programação orçamentária e financeira vigente.</w:t>
      </w:r>
    </w:p>
    <w:p w14:paraId="2C93FDC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4º As dotações orçamentárias relativas às emendas individuais que permanecerem com impedimento técnico após 20 de novembro de 2022 poderão ser utilizadas pelo Poder Executivo como fonte de recursos para a abertura de créditos adicionais, na forma da Lei Federal nº 4.320/1964.</w:t>
      </w:r>
    </w:p>
    <w:p w14:paraId="447B2EC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5º As justificativas para a inexecução das programações orçamentárias das emendas individuais comporão o relatório de avaliação das metas fiscais do último quadrimestre do exercício, a ser apresentado em audiência pública na forma do art. 25 desta Lei.</w:t>
      </w:r>
    </w:p>
    <w:p w14:paraId="44BE7BA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37.</w:t>
      </w:r>
      <w:r w:rsidRPr="000560FF">
        <w:rPr>
          <w:rFonts w:ascii="Arial" w:hAnsi="Arial" w:cs="Arial"/>
          <w:bCs/>
          <w:iCs/>
          <w:sz w:val="24"/>
          <w:szCs w:val="24"/>
        </w:rPr>
        <w:t xml:space="preserve">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p w14:paraId="5A9BB7E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Os relatórios referidos no caput deste artigo, deverão detalhar, no mínimo, a relação das emendas aprovadas, o autor, a classificação, a ação orçamentária, bem como os respectivos valores aprovados e executados.</w:t>
      </w:r>
    </w:p>
    <w:p w14:paraId="22EBC04A" w14:textId="77777777" w:rsidR="000560FF" w:rsidRPr="000560FF" w:rsidRDefault="000560FF" w:rsidP="000560FF">
      <w:pPr>
        <w:spacing w:after="240" w:line="276" w:lineRule="auto"/>
        <w:jc w:val="both"/>
        <w:rPr>
          <w:rFonts w:ascii="Arial" w:hAnsi="Arial" w:cs="Arial"/>
          <w:bCs/>
          <w:iCs/>
          <w:sz w:val="24"/>
          <w:szCs w:val="24"/>
        </w:rPr>
      </w:pPr>
    </w:p>
    <w:p w14:paraId="493C8B68"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VII - Da Destinação de Recursos Públicos a Pessoas Físicas e Jurídicas</w:t>
      </w:r>
    </w:p>
    <w:p w14:paraId="32BCFB49"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lastRenderedPageBreak/>
        <w:t>Subseção I - Das Subvenções Econômicas</w:t>
      </w:r>
    </w:p>
    <w:p w14:paraId="1700E595" w14:textId="77777777" w:rsidR="000560FF" w:rsidRPr="000560FF" w:rsidRDefault="000560FF" w:rsidP="000560FF">
      <w:pPr>
        <w:spacing w:after="240" w:line="276" w:lineRule="auto"/>
        <w:ind w:firstLine="1418"/>
        <w:jc w:val="both"/>
        <w:rPr>
          <w:rFonts w:ascii="Arial" w:hAnsi="Arial" w:cs="Arial"/>
          <w:bCs/>
          <w:iCs/>
          <w:sz w:val="24"/>
          <w:szCs w:val="24"/>
        </w:rPr>
      </w:pPr>
    </w:p>
    <w:p w14:paraId="1874323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38.</w:t>
      </w:r>
      <w:r w:rsidRPr="000560FF">
        <w:rPr>
          <w:rFonts w:ascii="Arial" w:hAnsi="Arial" w:cs="Arial"/>
          <w:bCs/>
          <w:iCs/>
          <w:sz w:val="24"/>
          <w:szCs w:val="24"/>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14:paraId="3CB80EF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Em atendimento ao disposto no art. 19 da Lei Federal no 4.320/1964, a destinação de recursos às entidades privadas com fins lucrativos de que trata o caput somente poderá ocorrer por meio de subvenções econômicas, sendo vedada a transferência a título de contribuições ou auxílios para despesas de capital.</w:t>
      </w:r>
    </w:p>
    <w:p w14:paraId="7C2344D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As transferências a entidades privadas com fins lucrativos de que trata o “caput” deste artigo, serão executadas na modalidade de aplicação “60 – Transferências a Instituições Privadas com fins lucrativos” e no elemento de despesa “45 – Subvenções Econômicas”.</w:t>
      </w:r>
    </w:p>
    <w:p w14:paraId="7015CD6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39.</w:t>
      </w:r>
      <w:r w:rsidRPr="000560FF">
        <w:rPr>
          <w:rFonts w:ascii="Arial" w:hAnsi="Arial" w:cs="Arial"/>
          <w:bCs/>
          <w:iCs/>
          <w:sz w:val="24"/>
          <w:szCs w:val="24"/>
        </w:rPr>
        <w:t xml:space="preserve">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14:paraId="0F755FF4" w14:textId="77777777" w:rsidR="000560FF" w:rsidRPr="000560FF" w:rsidRDefault="000560FF" w:rsidP="000560FF">
      <w:pPr>
        <w:spacing w:after="240" w:line="276" w:lineRule="auto"/>
        <w:jc w:val="center"/>
        <w:rPr>
          <w:rFonts w:ascii="Arial" w:hAnsi="Arial" w:cs="Arial"/>
          <w:b/>
          <w:iCs/>
          <w:sz w:val="24"/>
          <w:szCs w:val="24"/>
        </w:rPr>
      </w:pPr>
    </w:p>
    <w:p w14:paraId="24EED967"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II - Das Subvenções Sociais</w:t>
      </w:r>
    </w:p>
    <w:p w14:paraId="7A16FC0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40.</w:t>
      </w:r>
      <w:r w:rsidRPr="000560FF">
        <w:rPr>
          <w:rFonts w:ascii="Arial" w:hAnsi="Arial" w:cs="Arial"/>
          <w:bCs/>
          <w:iCs/>
          <w:sz w:val="24"/>
          <w:szCs w:val="24"/>
        </w:rPr>
        <w:t xml:space="preserve"> A transferência de recursos a título de subvenções sociais, nos termos dos arts. 12, § 3º, I, 16 e 17 da Lei Federal no 4.320/1964, atenderá às entidades privadas sem fins lucrativos que exerçam atividades de natureza continuada nas áreas de cultura, assistência social, saúde e educação.</w:t>
      </w:r>
    </w:p>
    <w:p w14:paraId="5ECEF6C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As subvenções que se destinarem à cobertura de déficits de funcionamento das entidades mencionadas no caput deverão ser autorizadas por ´lei específica, nos termos do art. 26 da Lei Complementar nº 101/2000.</w:t>
      </w:r>
    </w:p>
    <w:p w14:paraId="44DD00BC" w14:textId="77777777" w:rsidR="000560FF" w:rsidRPr="000560FF" w:rsidRDefault="000560FF" w:rsidP="000560FF">
      <w:pPr>
        <w:spacing w:after="240" w:line="276" w:lineRule="auto"/>
        <w:jc w:val="center"/>
        <w:rPr>
          <w:rFonts w:ascii="Arial" w:hAnsi="Arial" w:cs="Arial"/>
          <w:b/>
          <w:iCs/>
          <w:sz w:val="24"/>
          <w:szCs w:val="24"/>
        </w:rPr>
      </w:pPr>
    </w:p>
    <w:p w14:paraId="6D721618"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III - Das Contribuições Correntes e de Capital</w:t>
      </w:r>
    </w:p>
    <w:p w14:paraId="4CC682D7" w14:textId="77777777" w:rsidR="000560FF" w:rsidRPr="000560FF" w:rsidRDefault="000560FF" w:rsidP="000560FF">
      <w:pPr>
        <w:spacing w:after="240" w:line="276" w:lineRule="auto"/>
        <w:ind w:firstLine="1418"/>
        <w:jc w:val="both"/>
        <w:rPr>
          <w:rFonts w:ascii="Arial" w:hAnsi="Arial" w:cs="Arial"/>
          <w:bCs/>
          <w:iCs/>
          <w:sz w:val="24"/>
          <w:szCs w:val="24"/>
        </w:rPr>
      </w:pPr>
    </w:p>
    <w:p w14:paraId="7696502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41.</w:t>
      </w:r>
      <w:r w:rsidRPr="000560FF">
        <w:rPr>
          <w:rFonts w:ascii="Arial" w:hAnsi="Arial" w:cs="Arial"/>
          <w:bCs/>
          <w:iCs/>
          <w:sz w:val="24"/>
          <w:szCs w:val="24"/>
        </w:rPr>
        <w:t xml:space="preserve"> A transferência de recursos a título de contribuição corrente somente será destinada a entidades sem fins lucrativos que preencham uma das seguintes condições:</w:t>
      </w:r>
    </w:p>
    <w:p w14:paraId="7F8D4D5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estejam autorizadas em lei específica, que identifique expressamente a entidade beneficiária;</w:t>
      </w:r>
    </w:p>
    <w:p w14:paraId="6ADD01E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estejam nominalmente identificadas na Lei Orçamentária; ou</w:t>
      </w:r>
    </w:p>
    <w:p w14:paraId="3B9F128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sejam selecionadas para execução, em parceria com a Administração Pública Municipal, de atividades ou projetos que contribuam diretamente para o alcance de diretrizes, objetivos e metas previstas no Plano Plurianual.</w:t>
      </w:r>
    </w:p>
    <w:p w14:paraId="60957DA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42.</w:t>
      </w:r>
      <w:r w:rsidRPr="000560FF">
        <w:rPr>
          <w:rFonts w:ascii="Arial" w:hAnsi="Arial" w:cs="Arial"/>
          <w:bCs/>
          <w:iCs/>
          <w:sz w:val="24"/>
          <w:szCs w:val="24"/>
        </w:rPr>
        <w:t xml:space="preserve"> A alocação de recursos para entidades privadas sem fins lucrativos, a título de contribuições de capital, fica condicionada à autorização em lei especial anterior de que trata o art. 12, § 6o, da Lei Federal no    4.320/1964.</w:t>
      </w:r>
    </w:p>
    <w:p w14:paraId="620288F8" w14:textId="77777777" w:rsidR="000560FF" w:rsidRPr="000560FF" w:rsidRDefault="000560FF" w:rsidP="000560FF">
      <w:pPr>
        <w:spacing w:after="240" w:line="276" w:lineRule="auto"/>
        <w:ind w:firstLine="1418"/>
        <w:jc w:val="both"/>
        <w:rPr>
          <w:rFonts w:ascii="Arial" w:hAnsi="Arial" w:cs="Arial"/>
          <w:bCs/>
          <w:iCs/>
          <w:sz w:val="24"/>
          <w:szCs w:val="24"/>
        </w:rPr>
      </w:pPr>
    </w:p>
    <w:p w14:paraId="164D845D"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IV - Dos Auxílios</w:t>
      </w:r>
    </w:p>
    <w:p w14:paraId="36DB9756" w14:textId="77777777" w:rsidR="000560FF" w:rsidRPr="000560FF" w:rsidRDefault="000560FF" w:rsidP="000560FF">
      <w:pPr>
        <w:spacing w:after="240" w:line="276" w:lineRule="auto"/>
        <w:ind w:firstLine="1418"/>
        <w:jc w:val="both"/>
        <w:rPr>
          <w:rFonts w:ascii="Arial" w:hAnsi="Arial" w:cs="Arial"/>
          <w:bCs/>
          <w:iCs/>
          <w:sz w:val="24"/>
          <w:szCs w:val="24"/>
        </w:rPr>
      </w:pPr>
    </w:p>
    <w:p w14:paraId="214996E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43</w:t>
      </w:r>
      <w:r w:rsidRPr="000560FF">
        <w:rPr>
          <w:rFonts w:ascii="Arial" w:hAnsi="Arial" w:cs="Arial"/>
          <w:bCs/>
          <w:iCs/>
          <w:sz w:val="24"/>
          <w:szCs w:val="24"/>
        </w:rPr>
        <w:t>. A transferência de recursos a título de auxílios, previstos no art. 12, § 6o, da Lei Federal no 4.320/1964, que dependa da abertura de crédito adicional especial, somente poderá ser realizada para entidades privadas sem fins lucrativos que sejam:</w:t>
      </w:r>
    </w:p>
    <w:p w14:paraId="1F2E315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de atendimento direto e gratuito ao público e voltadas para a educação básica ou educação especial;</w:t>
      </w:r>
    </w:p>
    <w:p w14:paraId="4A28D81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para o desenvolvimento de programas voltados a manutenção e preservação do Meio Ambiente;</w:t>
      </w:r>
    </w:p>
    <w:p w14:paraId="1BF798C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voltadas a ações de saúde e de atendimento direto e gratuito ao público, prestadas por entidades sem fins lucrativos que sejam certificadas como entidades beneficentes de assistência social na área de saúde;</w:t>
      </w:r>
    </w:p>
    <w:p w14:paraId="04AC74F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qualificadas como Organização da Sociedade Civil de Interesse Público - OSCIP, com termo de parceria firmada com o Poder Público Municipal, de acordo com a Lei Federal no 9.790/1999, e que participem da execução de programas constantes no plano plurianual, devendo a destinação de recursos guardar conformidade com os objetivos sociais da entidade;</w:t>
      </w:r>
    </w:p>
    <w:p w14:paraId="670EFDF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V - qualificadas para o desenvolvimento de atividades esportivas que contribuam para a formação e capacitação de atletas;</w:t>
      </w:r>
    </w:p>
    <w:p w14:paraId="4530EFD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 - destinada a atender, assegurar e a promover o exercício dos direitos e das liberdades fundamentais por pessoa com deficiência, visando à sua habilitação, reabilitação e integração social e cidadania, nos termos da Lei Federal no 13.146/2015;</w:t>
      </w:r>
    </w:p>
    <w:p w14:paraId="016D535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no 12.305/2010, regulamentada pelo Decreto Federal no 7.404/2010; e</w:t>
      </w:r>
    </w:p>
    <w:p w14:paraId="5A23C4D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VIII - voltadas ao atendimento direto e gratuito ao público na área de assistência social que:</w:t>
      </w:r>
    </w:p>
    <w:p w14:paraId="2944475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se destinem a pessoas idosas, crianças e adolescentes em situação de vulnerabilidade social, risco pessoal e social;</w:t>
      </w:r>
    </w:p>
    <w:p w14:paraId="3B7115D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sejam voltadas ao atendimento de pessoas em situação de vulnerabilidade social, violação de direito ou diretamente alcançadas por programas e ações de combate à pobreza e geração de trabalho e renda;</w:t>
      </w:r>
    </w:p>
    <w:p w14:paraId="7C5EC48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No caso do inciso I, a transferência de recursos públicos deve ser obrigatoriamente justificada e vinculada ao plano de expansão da oferta pública na respectiva etapa e modalidade de educação.</w:t>
      </w:r>
    </w:p>
    <w:p w14:paraId="5AA61B1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No caso do inciso IV, as transferências serão efetuadas por meio de termo de parceria, caso em que deverá ser observada a legislação específica pertinente a essas entidades e processo seletivo de ampla divulgação.</w:t>
      </w:r>
    </w:p>
    <w:p w14:paraId="316A86CB" w14:textId="77777777" w:rsidR="000560FF" w:rsidRPr="000560FF" w:rsidRDefault="000560FF" w:rsidP="000560FF">
      <w:pPr>
        <w:spacing w:after="240" w:line="276" w:lineRule="auto"/>
        <w:ind w:firstLine="1418"/>
        <w:jc w:val="both"/>
        <w:rPr>
          <w:rFonts w:ascii="Arial" w:hAnsi="Arial" w:cs="Arial"/>
          <w:bCs/>
          <w:iCs/>
          <w:sz w:val="24"/>
          <w:szCs w:val="24"/>
        </w:rPr>
      </w:pPr>
    </w:p>
    <w:p w14:paraId="5EC1E51F"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Subseção V - Das Disposições Gerais para Destinação de Recursos Públicos para Pessoas Físicas e Jurídicas</w:t>
      </w:r>
    </w:p>
    <w:p w14:paraId="4F7FCC20" w14:textId="77777777" w:rsidR="000560FF" w:rsidRPr="000560FF" w:rsidRDefault="000560FF" w:rsidP="000560FF">
      <w:pPr>
        <w:spacing w:after="240" w:line="276" w:lineRule="auto"/>
        <w:jc w:val="center"/>
        <w:rPr>
          <w:rFonts w:ascii="Arial" w:hAnsi="Arial" w:cs="Arial"/>
          <w:b/>
          <w:iCs/>
          <w:sz w:val="24"/>
          <w:szCs w:val="24"/>
        </w:rPr>
      </w:pPr>
    </w:p>
    <w:p w14:paraId="74C6B6B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44.</w:t>
      </w:r>
      <w:r w:rsidRPr="000560FF">
        <w:rPr>
          <w:rFonts w:ascii="Arial" w:hAnsi="Arial" w:cs="Arial"/>
          <w:bCs/>
          <w:iCs/>
          <w:sz w:val="24"/>
          <w:szCs w:val="24"/>
        </w:rPr>
        <w:t xml:space="preserve"> Sem prejuízo das demais disposições contidas nesta seção, a transferência de recursos prevista na Lei Federal no 4.320/1964, a entidade privada sem fins lucrativos, dependerá ainda de:</w:t>
      </w:r>
    </w:p>
    <w:p w14:paraId="065DB66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execução da despesa na modalidade de aplicação 50 – Transferências a Instituições Privadas sem fins lucrativos;</w:t>
      </w:r>
    </w:p>
    <w:p w14:paraId="542B280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II - estar regularmente constituída, assim considerado:</w:t>
      </w:r>
    </w:p>
    <w:p w14:paraId="16AB0DC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no mínimo 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3B3D3DF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tenha escrituração de acordo com os princípios fundamentais de contabilidade e com as Normas Brasileiras de Contabilidade;</w:t>
      </w:r>
    </w:p>
    <w:p w14:paraId="377F64C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ter apresentado as prestações de contas de recursos anteriormente recebidos, nos prazos e condições fixados na legislação e no convênio ou termo de parceria, contrato ou instrumento congênere celebrados;</w:t>
      </w:r>
    </w:p>
    <w:p w14:paraId="2D491E2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6916701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V – não ter como dirigente pessoa que:</w:t>
      </w:r>
    </w:p>
    <w:p w14:paraId="1CD63B5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seja membro de Poder, órgão ou entidade da Administração Pública Municipal, estendendo-se a vedação aos respectivos cônjuges ou companheiros, bem como parentes em linha reta, colateral ou por afinidade, até o segundo grau;</w:t>
      </w:r>
    </w:p>
    <w:p w14:paraId="61AEE8B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incida em quaisquer das hipóteses de inelegibilidade previstas no art. 1o, inciso I, da Lei Complementar no 64, de 18 de maio de 1990;</w:t>
      </w:r>
    </w:p>
    <w:p w14:paraId="0E22C79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c) 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674ECEA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d) tenha sido julgada responsável por falta grave e inabilitada para o exercício de cargo em comissão ou função de confiança, enquanto durar a inabilitação;</w:t>
      </w:r>
    </w:p>
    <w:p w14:paraId="555AD9B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e) tenha sido considerada responsável por ato de improbidade, enquanto durarem os prazos estabelecidos nos incisos I, II e III do art. 12 da Lei no 8.429, de 2 de junho de 1992.</w:t>
      </w:r>
    </w:p>
    <w:p w14:paraId="195F6E1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w:t>
      </w:r>
      <w:r w:rsidRPr="000560FF">
        <w:rPr>
          <w:rFonts w:ascii="Arial" w:hAnsi="Arial" w:cs="Arial"/>
          <w:bCs/>
          <w:iCs/>
          <w:sz w:val="24"/>
          <w:szCs w:val="24"/>
        </w:rPr>
        <w:lastRenderedPageBreak/>
        <w:t>jurídica da Administração Pública acerca da possibilidade de celebração da parceria.</w:t>
      </w:r>
    </w:p>
    <w:p w14:paraId="7D103B8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Caberá a Secretaria de Administração e Planejamento verificar e declarar a implementação das condições previstas neste artigo e demais requisitos estabelecidos nesta seção, comunicando à Unidade Central de Controle Interno eventuais irregularidades verificadas.</w:t>
      </w:r>
    </w:p>
    <w:p w14:paraId="72C99B7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45.</w:t>
      </w:r>
      <w:r w:rsidRPr="000560FF">
        <w:rPr>
          <w:rFonts w:ascii="Arial" w:hAnsi="Arial" w:cs="Arial"/>
          <w:bCs/>
          <w:iCs/>
          <w:sz w:val="24"/>
          <w:szCs w:val="24"/>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3B5D046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46.</w:t>
      </w:r>
      <w:r w:rsidRPr="000560FF">
        <w:rPr>
          <w:rFonts w:ascii="Arial" w:hAnsi="Arial" w:cs="Arial"/>
          <w:bCs/>
          <w:iCs/>
          <w:sz w:val="24"/>
          <w:szCs w:val="24"/>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7A7EF93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742AF72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 – nome e CNPJ da entidade; </w:t>
      </w:r>
    </w:p>
    <w:p w14:paraId="2F59C86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 – nome, função e CPF dos dirigentes; </w:t>
      </w:r>
    </w:p>
    <w:p w14:paraId="2268DFE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III – área de atuação;  </w:t>
      </w:r>
    </w:p>
    <w:p w14:paraId="2C631A6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IV – endereço da sede; </w:t>
      </w:r>
    </w:p>
    <w:p w14:paraId="70F9C28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 – data, objeto, valor e número do convênio, termo de parceria, contrato ou instrumento congênere; </w:t>
      </w:r>
    </w:p>
    <w:p w14:paraId="38A99E3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VI – valores transferidos e respectivas datas. </w:t>
      </w:r>
    </w:p>
    <w:p w14:paraId="5E26D17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47.</w:t>
      </w:r>
      <w:r w:rsidRPr="000560FF">
        <w:rPr>
          <w:rFonts w:ascii="Arial" w:hAnsi="Arial" w:cs="Arial"/>
          <w:bCs/>
          <w:iCs/>
          <w:sz w:val="24"/>
          <w:szCs w:val="24"/>
        </w:rPr>
        <w:t xml:space="preserve">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no 101/2000.</w:t>
      </w:r>
    </w:p>
    <w:p w14:paraId="123F5C6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lastRenderedPageBreak/>
        <w:t>Art. 48.</w:t>
      </w:r>
      <w:r w:rsidRPr="000560FF">
        <w:rPr>
          <w:rFonts w:ascii="Arial" w:hAnsi="Arial" w:cs="Arial"/>
          <w:bCs/>
          <w:iCs/>
          <w:sz w:val="24"/>
          <w:szCs w:val="24"/>
        </w:rPr>
        <w:t xml:space="preserve"> Toda movimentação de recursos relativos às subvenções, contribuições e auxílios de que trata esta Seção, por parte das entidades beneficiárias, somente será realizada observando-se os seguintes preceitos:</w:t>
      </w:r>
    </w:p>
    <w:p w14:paraId="23C9043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depósito e movimentação em conta bancária específica para cada instrumento de transferência;</w:t>
      </w:r>
    </w:p>
    <w:p w14:paraId="71B42E5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desembolsos mediante documento bancário, por meio do qual se faça crédito na conta bancária de titularidade do fornecedor ou prestador de serviços.</w:t>
      </w:r>
    </w:p>
    <w:p w14:paraId="2862907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Quando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684C8BA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49.</w:t>
      </w:r>
      <w:r w:rsidRPr="000560FF">
        <w:rPr>
          <w:rFonts w:ascii="Arial" w:hAnsi="Arial" w:cs="Arial"/>
          <w:bCs/>
          <w:iCs/>
          <w:sz w:val="24"/>
          <w:szCs w:val="24"/>
        </w:rPr>
        <w:t xml:space="preserve"> Não se aplicam a disposições desta seção os recursos entregues a Consórcios Públicos mediante contrato de rateio, nos termos regulados pela Lei Federal nº 11.107/2005 e pelo Decreto Federal nº 6.017/2017.</w:t>
      </w:r>
    </w:p>
    <w:p w14:paraId="5B976E5F" w14:textId="77777777" w:rsidR="000560FF" w:rsidRPr="000560FF" w:rsidRDefault="000560FF" w:rsidP="000560FF">
      <w:pPr>
        <w:spacing w:after="240" w:line="276" w:lineRule="auto"/>
        <w:jc w:val="center"/>
        <w:rPr>
          <w:rFonts w:ascii="Arial" w:hAnsi="Arial" w:cs="Arial"/>
          <w:b/>
          <w:iCs/>
          <w:sz w:val="24"/>
          <w:szCs w:val="24"/>
        </w:rPr>
      </w:pPr>
    </w:p>
    <w:p w14:paraId="5B721C62"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Seção VIII - Dos Empréstimos, Financiamentos e Refinanciamentos</w:t>
      </w:r>
    </w:p>
    <w:p w14:paraId="43B7CEB1" w14:textId="77777777" w:rsidR="000560FF" w:rsidRPr="000560FF" w:rsidRDefault="000560FF" w:rsidP="000560FF">
      <w:pPr>
        <w:spacing w:after="240" w:line="276" w:lineRule="auto"/>
        <w:ind w:firstLine="1418"/>
        <w:jc w:val="both"/>
        <w:rPr>
          <w:rFonts w:ascii="Arial" w:hAnsi="Arial" w:cs="Arial"/>
          <w:bCs/>
          <w:iCs/>
          <w:sz w:val="24"/>
          <w:szCs w:val="24"/>
        </w:rPr>
      </w:pPr>
    </w:p>
    <w:p w14:paraId="7D81362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50</w:t>
      </w:r>
      <w:r w:rsidRPr="000560FF">
        <w:rPr>
          <w:rFonts w:ascii="Arial" w:hAnsi="Arial" w:cs="Arial"/>
          <w:bCs/>
          <w:iCs/>
          <w:sz w:val="24"/>
          <w:szCs w:val="24"/>
        </w:rPr>
        <w:t>. Observado o disposto no art. 27 da Lei Complementar nº 101/2000, a concessão de empréstimos e financiamentos destinados a pessoas físicas e jurídicas fica condicionada ao pagamento de juros não inferiores a 1% (um por cento) ao ano, ou ao custo de captação e também às seguintes exigências:</w:t>
      </w:r>
    </w:p>
    <w:p w14:paraId="6106D4C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concessão através de fundo rotativo ou programa governamental específico;</w:t>
      </w:r>
    </w:p>
    <w:p w14:paraId="5E1CA34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pré-seleção e aprovação dos beneficiários pelo Poder Público;</w:t>
      </w:r>
    </w:p>
    <w:p w14:paraId="0BB12A0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formalização de contrato;</w:t>
      </w:r>
    </w:p>
    <w:p w14:paraId="26A6D1D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assunção, pelo mutuário, dos encargos financeiros, eventuais comissões, taxas e outras despesas cobradas pelo agente financeiro, quando for o caso.</w:t>
      </w:r>
    </w:p>
    <w:p w14:paraId="68CE24B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No caso das pessoas jurídicas, serão consideradas como prioritárias, para a concessão de empréstimos ou financiamentos, as empresas que:</w:t>
      </w:r>
    </w:p>
    <w:p w14:paraId="4764408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xml:space="preserve">I - desenvolvam projetos de responsabilidade socioambiental; </w:t>
      </w:r>
    </w:p>
    <w:p w14:paraId="6C0B402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 - integrem as cadeias produtivas locais; </w:t>
      </w:r>
    </w:p>
    <w:p w14:paraId="06A9B16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III - empreguem pessoas com deficiência em proporção superior à exigida no art. 110 da Lei Federal </w:t>
      </w:r>
      <w:proofErr w:type="gramStart"/>
      <w:r w:rsidRPr="000560FF">
        <w:rPr>
          <w:rFonts w:ascii="Arial" w:hAnsi="Arial" w:cs="Arial"/>
          <w:bCs/>
          <w:iCs/>
          <w:sz w:val="24"/>
          <w:szCs w:val="24"/>
        </w:rPr>
        <w:t>nº  8.213</w:t>
      </w:r>
      <w:proofErr w:type="gramEnd"/>
      <w:r w:rsidRPr="000560FF">
        <w:rPr>
          <w:rFonts w:ascii="Arial" w:hAnsi="Arial" w:cs="Arial"/>
          <w:bCs/>
          <w:iCs/>
          <w:sz w:val="24"/>
          <w:szCs w:val="24"/>
        </w:rPr>
        <w:t xml:space="preserve">, de 24 de julho de 1991; </w:t>
      </w:r>
    </w:p>
    <w:p w14:paraId="37067E2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adotem políticas de participação dos trabalhadores nos lucros;</w:t>
      </w:r>
    </w:p>
    <w:p w14:paraId="0F23571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2º Através de lei específica, poderá ser concedido subsídio para o pagamento dos empréstimos e financiamentos de que trata o caput deste artigo;</w:t>
      </w:r>
    </w:p>
    <w:p w14:paraId="59D0156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3º As prorrogações e composições de dívidas decorrentes de empréstimos, financiamentos e refinanciamentos concedidos com recursos do Município dependem de autorização expressa em lei específica.</w:t>
      </w:r>
    </w:p>
    <w:p w14:paraId="1ED1A4F3" w14:textId="77777777" w:rsidR="000560FF" w:rsidRPr="000560FF" w:rsidRDefault="000560FF" w:rsidP="000560FF">
      <w:pPr>
        <w:spacing w:after="240" w:line="276" w:lineRule="auto"/>
        <w:ind w:firstLine="1418"/>
        <w:jc w:val="both"/>
        <w:rPr>
          <w:rFonts w:ascii="Arial" w:hAnsi="Arial" w:cs="Arial"/>
          <w:bCs/>
          <w:iCs/>
          <w:sz w:val="24"/>
          <w:szCs w:val="24"/>
        </w:rPr>
      </w:pPr>
    </w:p>
    <w:p w14:paraId="6BB1CF46"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V - Das Disposições Relativas à Dívida Pública Municipal</w:t>
      </w:r>
    </w:p>
    <w:p w14:paraId="1F6997D5" w14:textId="77777777" w:rsidR="000560FF" w:rsidRPr="000560FF" w:rsidRDefault="000560FF" w:rsidP="000560FF">
      <w:pPr>
        <w:spacing w:after="240" w:line="276" w:lineRule="auto"/>
        <w:ind w:firstLine="1418"/>
        <w:jc w:val="both"/>
        <w:rPr>
          <w:rFonts w:ascii="Arial" w:hAnsi="Arial" w:cs="Arial"/>
          <w:bCs/>
          <w:iCs/>
          <w:sz w:val="24"/>
          <w:szCs w:val="24"/>
        </w:rPr>
      </w:pPr>
    </w:p>
    <w:p w14:paraId="30F2935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51.</w:t>
      </w:r>
      <w:r w:rsidRPr="000560FF">
        <w:rPr>
          <w:rFonts w:ascii="Arial" w:hAnsi="Arial" w:cs="Arial"/>
          <w:bCs/>
          <w:iCs/>
          <w:sz w:val="24"/>
          <w:szCs w:val="24"/>
        </w:rPr>
        <w:t xml:space="preserve"> A lei orçamentária anual garantirá recursos para pagamento da dívida pública municipal, nos termos dos compromissos firmados, inclusive com a previdência social.</w:t>
      </w:r>
    </w:p>
    <w:p w14:paraId="650AEC4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52.</w:t>
      </w:r>
      <w:r w:rsidRPr="000560FF">
        <w:rPr>
          <w:rFonts w:ascii="Arial" w:hAnsi="Arial" w:cs="Arial"/>
          <w:bCs/>
          <w:iCs/>
          <w:sz w:val="24"/>
          <w:szCs w:val="24"/>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6F168BA5" w14:textId="77777777" w:rsidR="000560FF" w:rsidRPr="000560FF" w:rsidRDefault="000560FF" w:rsidP="000560FF">
      <w:pPr>
        <w:spacing w:after="240" w:line="276" w:lineRule="auto"/>
        <w:ind w:firstLine="1418"/>
        <w:jc w:val="both"/>
        <w:rPr>
          <w:rFonts w:ascii="Arial" w:hAnsi="Arial" w:cs="Arial"/>
          <w:bCs/>
          <w:iCs/>
          <w:sz w:val="24"/>
          <w:szCs w:val="24"/>
        </w:rPr>
      </w:pPr>
    </w:p>
    <w:p w14:paraId="4EF839D1"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VI - Das Disposições Relativas às Despesas com Pessoal e Encargos Sociais</w:t>
      </w:r>
    </w:p>
    <w:p w14:paraId="23CEF0F4" w14:textId="77777777" w:rsidR="000560FF" w:rsidRPr="000560FF" w:rsidRDefault="000560FF" w:rsidP="000560FF">
      <w:pPr>
        <w:spacing w:after="240" w:line="276" w:lineRule="auto"/>
        <w:jc w:val="center"/>
        <w:rPr>
          <w:rFonts w:ascii="Arial" w:hAnsi="Arial" w:cs="Arial"/>
          <w:b/>
          <w:iCs/>
          <w:sz w:val="24"/>
          <w:szCs w:val="24"/>
        </w:rPr>
      </w:pPr>
    </w:p>
    <w:p w14:paraId="54FE74F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53.</w:t>
      </w:r>
      <w:r w:rsidRPr="000560FF">
        <w:rPr>
          <w:rFonts w:ascii="Arial" w:hAnsi="Arial" w:cs="Arial"/>
          <w:bCs/>
          <w:iCs/>
          <w:sz w:val="24"/>
          <w:szCs w:val="24"/>
        </w:rPr>
        <w:t xml:space="preserve"> No exercício de 2023,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14:paraId="40D9132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lastRenderedPageBreak/>
        <w:t>Parágrafo único.</w:t>
      </w:r>
      <w:r w:rsidRPr="000560FF">
        <w:rPr>
          <w:rFonts w:ascii="Arial" w:hAnsi="Arial" w:cs="Arial"/>
          <w:bCs/>
          <w:iCs/>
          <w:sz w:val="24"/>
          <w:szCs w:val="24"/>
        </w:rPr>
        <w:t xml:space="preserve"> Todas as unidades gestoras deverão ter como base de projeção de suas propostas orçamentárias, relativo a pessoal e encargos sociais, a despesa com a folha de pagamento do mês de setembro de 2022, compatibilizada com as despesas apresentadas até esse mês e os eventuais acréscimos legais com efeito financeiro no próximo exercício, inclusive a revisão geral anual da remuneração dos servidores públicos e o crescimento vegetativo.</w:t>
      </w:r>
    </w:p>
    <w:p w14:paraId="62C06B3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54.</w:t>
      </w:r>
      <w:r w:rsidRPr="000560FF">
        <w:rPr>
          <w:rFonts w:ascii="Arial" w:hAnsi="Arial" w:cs="Arial"/>
          <w:bCs/>
          <w:iCs/>
          <w:sz w:val="24"/>
          <w:szCs w:val="24"/>
        </w:rPr>
        <w:t xml:space="preserve"> Para fins dos limites previstos no art. 19, inciso III, alíneas “a” e “b” da Lei Complementar nº 101/2000, o cálculo das despesas com pessoal dos poderes executivo e legislativo deverá observar as prescrições da Instrução Normativa nº 18/2021 do Tribunal de Contas do Estado, ou a norma que lhe for superveniente.</w:t>
      </w:r>
    </w:p>
    <w:p w14:paraId="0ADE626C"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55.</w:t>
      </w:r>
      <w:r w:rsidRPr="000560FF">
        <w:rPr>
          <w:rFonts w:ascii="Arial" w:hAnsi="Arial" w:cs="Arial"/>
          <w:bCs/>
          <w:iCs/>
          <w:sz w:val="24"/>
          <w:szCs w:val="24"/>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10726E4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O Poder Legislativo, observará o cumprimento do disposto neste artigo, mediante ato da mesa diretora da Câmara Municipal.</w:t>
      </w:r>
    </w:p>
    <w:p w14:paraId="10FC5CC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56.</w:t>
      </w:r>
      <w:r w:rsidRPr="000560FF">
        <w:rPr>
          <w:rFonts w:ascii="Arial" w:hAnsi="Arial" w:cs="Arial"/>
          <w:bCs/>
          <w:iCs/>
          <w:sz w:val="24"/>
          <w:szCs w:val="24"/>
        </w:rPr>
        <w:t xml:space="preserve">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3C7F00E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conceder vantagens e aumentar a remuneração de servidores;</w:t>
      </w:r>
    </w:p>
    <w:p w14:paraId="6F51640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criar e extinguir cargos públicos e alterar a estrutura de carreiras;</w:t>
      </w:r>
    </w:p>
    <w:p w14:paraId="2076FB1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prover cargos efetivos, mediante concurso público, bem como efetuar contratações por tempo determinado para atender à necessidade temporária de excepcional interesse público, respeitada a legislação municipal vigente;</w:t>
      </w:r>
    </w:p>
    <w:p w14:paraId="0F8AA0B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IV – prover cargos em comissão e funções de confiança.</w:t>
      </w:r>
    </w:p>
    <w:p w14:paraId="5443F7F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1º Também estão autorizadas as seguintes ações, relacionadas com a política de pessoal da Administração Municipal: </w:t>
      </w:r>
    </w:p>
    <w:p w14:paraId="4E8C07F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proporcionar o desenvolvimento profissional de servidores municipais, mediante a realização de programas de treinamento;</w:t>
      </w:r>
    </w:p>
    <w:p w14:paraId="6D1A244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II - proporcionar o desenvolvimento pessoal dos servidores municipais, mediante a realização de programas informativos, educativos e culturais;</w:t>
      </w:r>
    </w:p>
    <w:p w14:paraId="1EEFD08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melhorar as condições de trabalho, equipamentos e infraestrutura, especialmente no que concerne à saúde, alimentação, transporte e segurança no trabalho.</w:t>
      </w:r>
    </w:p>
    <w:p w14:paraId="711F9F2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14:paraId="652ACD9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14:paraId="361E6CC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483FF45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3º As estimativas de impacto orçamentário-financeiro e declaração do ordenador de despesas para o aumento dos gastos com pessoal, terão validade de 6 (seis) meses contados da data da sua elaboração, devendo tais documentos ser reelaborados na hipótese de não ser praticado, dentro deste prazo, o ato que resulte aumento da despesa com pessoal, </w:t>
      </w:r>
    </w:p>
    <w:p w14:paraId="588DBCF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4º No caso de aumento de despesas com pessoal do Poder Legislativo, deverão ser obedecidos, adicionalmente, os limites fixados nos arts. 29 e 29-A da Constituição Federal. </w:t>
      </w:r>
    </w:p>
    <w:p w14:paraId="509655B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5º Os atos que provoquem aumento da despesa de que tratam os incisos I, II, III e IV do Caput serão considerados nulos de pleno direito, caso praticados sem o atendimento das disposições dos incisos I e II do § 2º deste artigo.</w:t>
      </w:r>
    </w:p>
    <w:p w14:paraId="3264655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508FA19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7º Ficam dispensados, da estimativa de impacto orçamentário e financeiro, atos de concessão de vantagens já previstas na legislação pertinente, </w:t>
      </w:r>
      <w:r w:rsidRPr="000560FF">
        <w:rPr>
          <w:rFonts w:ascii="Arial" w:hAnsi="Arial" w:cs="Arial"/>
          <w:bCs/>
          <w:iCs/>
          <w:sz w:val="24"/>
          <w:szCs w:val="24"/>
        </w:rPr>
        <w:lastRenderedPageBreak/>
        <w:t>de caráter meramente declaratório bem como as despesas irrelevantes, até o valor estabelecido no art. 15, § 2º desta lei.</w:t>
      </w:r>
    </w:p>
    <w:p w14:paraId="31376E3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57.</w:t>
      </w:r>
      <w:r w:rsidRPr="000560FF">
        <w:rPr>
          <w:rFonts w:ascii="Arial" w:hAnsi="Arial" w:cs="Arial"/>
          <w:bCs/>
          <w:iCs/>
          <w:sz w:val="24"/>
          <w:szCs w:val="24"/>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14:paraId="368CACB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as situações de emergência ou de calamidade pública;</w:t>
      </w:r>
    </w:p>
    <w:p w14:paraId="4DCBD0A9"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as situações de risco iminente à segurança de pessoas ou bens;</w:t>
      </w:r>
    </w:p>
    <w:p w14:paraId="1F10C2D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a relação custo-benefício se revelar mais favorável em relação a outra alternativa possível.</w:t>
      </w:r>
    </w:p>
    <w:p w14:paraId="61100EC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A autorização para a realização de serviço extraordinário, no âmbito do Poder Executivo, nas condições estabelecidas neste artigo, é de exclusiva competência da Secretaria de Administração e Planejamento.</w:t>
      </w:r>
    </w:p>
    <w:p w14:paraId="401372C9" w14:textId="77777777" w:rsidR="000560FF" w:rsidRPr="000560FF" w:rsidRDefault="000560FF" w:rsidP="000560FF">
      <w:pPr>
        <w:spacing w:after="240" w:line="276" w:lineRule="auto"/>
        <w:ind w:firstLine="1418"/>
        <w:jc w:val="both"/>
        <w:rPr>
          <w:rFonts w:ascii="Arial" w:hAnsi="Arial" w:cs="Arial"/>
          <w:bCs/>
          <w:iCs/>
          <w:sz w:val="24"/>
          <w:szCs w:val="24"/>
        </w:rPr>
      </w:pPr>
    </w:p>
    <w:p w14:paraId="45274CFB"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VII - Das Alterações na Legislação Tributária</w:t>
      </w:r>
    </w:p>
    <w:p w14:paraId="0FC1095C" w14:textId="77777777" w:rsidR="000560FF" w:rsidRPr="000560FF" w:rsidRDefault="000560FF" w:rsidP="000560FF">
      <w:pPr>
        <w:spacing w:after="240" w:line="276" w:lineRule="auto"/>
        <w:ind w:firstLine="1418"/>
        <w:jc w:val="both"/>
        <w:rPr>
          <w:rFonts w:ascii="Arial" w:hAnsi="Arial" w:cs="Arial"/>
          <w:bCs/>
          <w:iCs/>
          <w:sz w:val="24"/>
          <w:szCs w:val="24"/>
        </w:rPr>
      </w:pPr>
    </w:p>
    <w:p w14:paraId="7B90CF8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58.</w:t>
      </w:r>
      <w:r w:rsidRPr="000560FF">
        <w:rPr>
          <w:rFonts w:ascii="Arial" w:hAnsi="Arial" w:cs="Arial"/>
          <w:bCs/>
          <w:iCs/>
          <w:sz w:val="24"/>
          <w:szCs w:val="24"/>
        </w:rPr>
        <w:t xml:space="preserve"> As receitas serão estimadas e discriminadas:</w:t>
      </w:r>
    </w:p>
    <w:p w14:paraId="7D768EB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considerando a legislação tributária vigente até a data do envio do projeto de lei orçamentária à Câmara Municipal;</w:t>
      </w:r>
    </w:p>
    <w:p w14:paraId="484CE08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considerando, se for o caso, os efeitos das alterações na legislação tributária, resultantes de projetos de lei encaminhados à Câmara Municipal até a data de apresentação da proposta orçamentária de 2023, especialmente sobre:</w:t>
      </w:r>
    </w:p>
    <w:p w14:paraId="484FBA1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atualização da planta genérica de valores do Município;</w:t>
      </w:r>
    </w:p>
    <w:p w14:paraId="35A2228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b) revisão, atualização ou adequação da legislação sobre o Imposto Predial e Territorial Urbano, suas alíquotas, forma de cálculo, condições de pagamento, descontos e isenções, inclusive com relação à progressividade desse imposto;</w:t>
      </w:r>
    </w:p>
    <w:p w14:paraId="281259C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c) revisão da legislação sobre o uso do solo, com redefinição dos limites da zona urbana municipal;</w:t>
      </w:r>
    </w:p>
    <w:p w14:paraId="630BC40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d) revisão da legislação referente ao Imposto Sobre Serviços de Qualquer Natureza;</w:t>
      </w:r>
    </w:p>
    <w:p w14:paraId="556BD6A5"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e) revisão da legislação aplicável ao Imposto Sobre Transmissão Inter Vivos de Bens Imóveis e de Direitos Reais sobre Imóveis;</w:t>
      </w:r>
    </w:p>
    <w:p w14:paraId="2516683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f) instituição de novas taxas pela prestação de serviços públicos e pelo exercício do poder de polícia;</w:t>
      </w:r>
    </w:p>
    <w:p w14:paraId="67A7B0A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g) revisão das isenções tributárias, para atender ao interesse público e à justiça social;</w:t>
      </w:r>
    </w:p>
    <w:p w14:paraId="27311837"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h) demais incentivos e benefícios fiscais.</w:t>
      </w:r>
    </w:p>
    <w:p w14:paraId="217AC12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59.</w:t>
      </w:r>
      <w:r w:rsidRPr="000560FF">
        <w:rPr>
          <w:rFonts w:ascii="Arial" w:hAnsi="Arial" w:cs="Arial"/>
          <w:bCs/>
          <w:iCs/>
          <w:sz w:val="24"/>
          <w:szCs w:val="24"/>
        </w:rPr>
        <w:t xml:space="preserve">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7D50164E"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60</w:t>
      </w:r>
      <w:r w:rsidRPr="000560FF">
        <w:rPr>
          <w:rFonts w:ascii="Arial" w:hAnsi="Arial" w:cs="Arial"/>
          <w:bCs/>
          <w:iCs/>
          <w:sz w:val="24"/>
          <w:szCs w:val="24"/>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 </w:t>
      </w:r>
    </w:p>
    <w:p w14:paraId="0474B03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14:paraId="0B97F30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a) aumento de receita proveniente de elevação de alíquota, ampliação da base de cálculo, majoração ou criação de tributo ou contribuição;</w:t>
      </w:r>
    </w:p>
    <w:p w14:paraId="5F5372B0"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b) cancelamento, durante o período em que vigorar o benefício, de despesas em valor equivalente. </w:t>
      </w:r>
    </w:p>
    <w:p w14:paraId="1F63C2A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14:paraId="512F25A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lastRenderedPageBreak/>
        <w:t>§ 3º Não se sujeitam às regras do §1º:</w:t>
      </w:r>
    </w:p>
    <w:p w14:paraId="18C57A1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 - a homologação de pedidos concessão de incentivos ou benefícios apresentados com base na legislação municipal preexistente;</w:t>
      </w:r>
    </w:p>
    <w:p w14:paraId="6AE8FA06"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 – a concessão de incentivos ou benefícios de natureza tributária ou não tributária cujo impacto seja irrelevante, assim considerado o limite de 0,5 (meio por cento) % da Receita Corrente Líquida prevista para o exercício de 2023.</w:t>
      </w:r>
    </w:p>
    <w:p w14:paraId="06CCB131"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Cs/>
          <w:iCs/>
          <w:sz w:val="24"/>
          <w:szCs w:val="24"/>
        </w:rPr>
        <w:t>III – os incentivos ou benefícios de natureza tributária ou não tributária concedidos de acordo com as disposições do art.65, § 1º, III, da Lei Complementar nº 101/2000.</w:t>
      </w:r>
    </w:p>
    <w:p w14:paraId="75B665C3"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61.</w:t>
      </w:r>
      <w:r w:rsidRPr="000560FF">
        <w:rPr>
          <w:rFonts w:ascii="Arial" w:hAnsi="Arial" w:cs="Arial"/>
          <w:bCs/>
          <w:iCs/>
          <w:sz w:val="24"/>
          <w:szCs w:val="24"/>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716AD62F" w14:textId="77777777" w:rsidR="000560FF" w:rsidRPr="000560FF" w:rsidRDefault="000560FF" w:rsidP="000560FF">
      <w:pPr>
        <w:spacing w:after="240" w:line="276" w:lineRule="auto"/>
        <w:jc w:val="center"/>
        <w:rPr>
          <w:rFonts w:ascii="Arial" w:hAnsi="Arial" w:cs="Arial"/>
          <w:b/>
          <w:iCs/>
          <w:sz w:val="24"/>
          <w:szCs w:val="24"/>
        </w:rPr>
      </w:pPr>
    </w:p>
    <w:p w14:paraId="2AA7BC17" w14:textId="77777777" w:rsidR="000560FF" w:rsidRPr="000560FF" w:rsidRDefault="000560FF" w:rsidP="000560FF">
      <w:pPr>
        <w:spacing w:after="240" w:line="276" w:lineRule="auto"/>
        <w:jc w:val="center"/>
        <w:rPr>
          <w:rFonts w:ascii="Arial" w:hAnsi="Arial" w:cs="Arial"/>
          <w:b/>
          <w:iCs/>
          <w:sz w:val="24"/>
          <w:szCs w:val="24"/>
        </w:rPr>
      </w:pPr>
      <w:r w:rsidRPr="000560FF">
        <w:rPr>
          <w:rFonts w:ascii="Arial" w:hAnsi="Arial" w:cs="Arial"/>
          <w:b/>
          <w:iCs/>
          <w:sz w:val="24"/>
          <w:szCs w:val="24"/>
        </w:rPr>
        <w:t>Capítulo VIII - Das Disposições Gerais</w:t>
      </w:r>
    </w:p>
    <w:p w14:paraId="7FE7914C" w14:textId="77777777" w:rsidR="000560FF" w:rsidRPr="000560FF" w:rsidRDefault="000560FF" w:rsidP="000560FF">
      <w:pPr>
        <w:spacing w:after="240" w:line="276" w:lineRule="auto"/>
        <w:ind w:firstLine="1418"/>
        <w:jc w:val="both"/>
        <w:rPr>
          <w:rFonts w:ascii="Arial" w:hAnsi="Arial" w:cs="Arial"/>
          <w:bCs/>
          <w:iCs/>
          <w:sz w:val="24"/>
          <w:szCs w:val="24"/>
        </w:rPr>
      </w:pPr>
    </w:p>
    <w:p w14:paraId="71BE13BB"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62.</w:t>
      </w:r>
      <w:r w:rsidRPr="000560FF">
        <w:rPr>
          <w:rFonts w:ascii="Arial" w:hAnsi="Arial" w:cs="Arial"/>
          <w:bCs/>
          <w:iCs/>
          <w:sz w:val="24"/>
          <w:szCs w:val="24"/>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14:paraId="2407E858"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A Lei Orçamentária anual, ou seus créditos adicionais, deverão contemplar recursos orçamentários suficientes para o atendimento das despesas de que trata o caput deste artigo.</w:t>
      </w:r>
    </w:p>
    <w:p w14:paraId="5E6931B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63.</w:t>
      </w:r>
      <w:r w:rsidRPr="000560FF">
        <w:rPr>
          <w:rFonts w:ascii="Arial" w:hAnsi="Arial" w:cs="Arial"/>
          <w:bCs/>
          <w:iCs/>
          <w:sz w:val="24"/>
          <w:szCs w:val="24"/>
        </w:rPr>
        <w:t xml:space="preserve"> Por meio da Secretaria Municipal de Administração e Planejamento,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14:paraId="04A5FB3A"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lastRenderedPageBreak/>
        <w:t>Art. 64.</w:t>
      </w:r>
      <w:r w:rsidRPr="000560FF">
        <w:rPr>
          <w:rFonts w:ascii="Arial" w:hAnsi="Arial" w:cs="Arial"/>
          <w:bCs/>
          <w:iCs/>
          <w:sz w:val="24"/>
          <w:szCs w:val="24"/>
        </w:rPr>
        <w:t xml:space="preserve"> Em consonância com o que dispõe o § 5º do art. 166 da Constituição Federal e o art. 105 da Lei Orgânica Municipal, poderá o Prefeito enviar Mensagem à Câmara Municipal para propor modificações aos projetos de lei orçamentária enquanto não estiver concluída a votação da parte cuja alteração é proposta.</w:t>
      </w:r>
    </w:p>
    <w:p w14:paraId="6EA39232"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65.</w:t>
      </w:r>
      <w:r w:rsidRPr="000560FF">
        <w:rPr>
          <w:rFonts w:ascii="Arial" w:hAnsi="Arial" w:cs="Arial"/>
          <w:bCs/>
          <w:iCs/>
          <w:sz w:val="24"/>
          <w:szCs w:val="24"/>
        </w:rPr>
        <w:t xml:space="preserve"> Fica facultado ao Poder Executivo publicar no órgão oficial de imprensa, de forma simplificada, a Lei Orçamentária Anual bem como as leis e os decretos de abertura dos créditos adicionais.</w:t>
      </w:r>
    </w:p>
    <w:p w14:paraId="142C75DD"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66.</w:t>
      </w:r>
      <w:r w:rsidRPr="000560FF">
        <w:rPr>
          <w:rFonts w:ascii="Arial" w:hAnsi="Arial" w:cs="Arial"/>
          <w:bCs/>
          <w:iCs/>
          <w:sz w:val="24"/>
          <w:szCs w:val="24"/>
        </w:rPr>
        <w:t xml:space="preserve"> Fica autorizada a retificação e republicação da Lei Orçamentária e dos Créditos Adicionais, nos casos de inexatidões formais.</w:t>
      </w:r>
    </w:p>
    <w:p w14:paraId="08B24FC4"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
          <w:sz w:val="24"/>
          <w:szCs w:val="24"/>
        </w:rPr>
        <w:t>Parágrafo único.</w:t>
      </w:r>
      <w:r w:rsidRPr="000560FF">
        <w:rPr>
          <w:rFonts w:ascii="Arial" w:hAnsi="Arial" w:cs="Arial"/>
          <w:bCs/>
          <w:iCs/>
          <w:sz w:val="24"/>
          <w:szCs w:val="24"/>
        </w:rPr>
        <w:t xml:space="preserve">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14:paraId="3BAAD9AF" w14:textId="77777777" w:rsidR="000560FF" w:rsidRPr="000560FF" w:rsidRDefault="000560FF" w:rsidP="000560FF">
      <w:pPr>
        <w:spacing w:after="240" w:line="276" w:lineRule="auto"/>
        <w:ind w:firstLine="1418"/>
        <w:jc w:val="both"/>
        <w:rPr>
          <w:rFonts w:ascii="Arial" w:hAnsi="Arial" w:cs="Arial"/>
          <w:bCs/>
          <w:iCs/>
          <w:sz w:val="24"/>
          <w:szCs w:val="24"/>
        </w:rPr>
      </w:pPr>
      <w:r w:rsidRPr="000560FF">
        <w:rPr>
          <w:rFonts w:ascii="Arial" w:hAnsi="Arial" w:cs="Arial"/>
          <w:b/>
          <w:iCs/>
          <w:sz w:val="24"/>
          <w:szCs w:val="24"/>
        </w:rPr>
        <w:t>Art. 67.</w:t>
      </w:r>
      <w:r w:rsidRPr="000560FF">
        <w:rPr>
          <w:rFonts w:ascii="Arial" w:hAnsi="Arial" w:cs="Arial"/>
          <w:bCs/>
          <w:iCs/>
          <w:sz w:val="24"/>
          <w:szCs w:val="24"/>
        </w:rPr>
        <w:t xml:space="preserve"> Esta Lei entra em vigor na data de sua publicação.</w:t>
      </w:r>
    </w:p>
    <w:p w14:paraId="781E30A5" w14:textId="77777777" w:rsidR="000560FF" w:rsidRDefault="000560FF" w:rsidP="001018E6">
      <w:pPr>
        <w:pStyle w:val="Ttulo"/>
        <w:ind w:left="-709" w:right="-568"/>
        <w:jc w:val="both"/>
        <w:rPr>
          <w:rFonts w:ascii="Arial" w:hAnsi="Arial" w:cs="Arial"/>
          <w:sz w:val="24"/>
          <w:szCs w:val="24"/>
        </w:rPr>
      </w:pPr>
    </w:p>
    <w:p w14:paraId="55E172FD" w14:textId="450533BE" w:rsidR="000560FF" w:rsidRDefault="000560FF" w:rsidP="001018E6">
      <w:pPr>
        <w:pStyle w:val="Ttulo"/>
        <w:ind w:left="-709" w:right="-568"/>
        <w:jc w:val="both"/>
        <w:rPr>
          <w:rFonts w:ascii="Arial" w:hAnsi="Arial" w:cs="Arial"/>
          <w:sz w:val="24"/>
          <w:szCs w:val="24"/>
        </w:rPr>
      </w:pPr>
    </w:p>
    <w:p w14:paraId="1F036BDF" w14:textId="406A6447"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E15BFC">
        <w:rPr>
          <w:rFonts w:ascii="Arial" w:hAnsi="Arial" w:cs="Arial"/>
          <w:sz w:val="24"/>
          <w:szCs w:val="24"/>
        </w:rPr>
        <w:t>1</w:t>
      </w:r>
      <w:r w:rsidR="000560FF">
        <w:rPr>
          <w:rFonts w:ascii="Arial" w:hAnsi="Arial" w:cs="Arial"/>
          <w:sz w:val="24"/>
          <w:szCs w:val="24"/>
        </w:rPr>
        <w:t>9</w:t>
      </w:r>
      <w:r>
        <w:rPr>
          <w:rFonts w:ascii="Arial" w:hAnsi="Arial" w:cs="Arial"/>
          <w:sz w:val="24"/>
          <w:szCs w:val="24"/>
        </w:rPr>
        <w:t xml:space="preserve"> de </w:t>
      </w:r>
      <w:r w:rsidR="00D07404">
        <w:rPr>
          <w:rFonts w:ascii="Arial" w:hAnsi="Arial" w:cs="Arial"/>
          <w:sz w:val="24"/>
          <w:szCs w:val="24"/>
        </w:rPr>
        <w:t>outubro</w:t>
      </w:r>
      <w:r w:rsidR="00A9303D">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8677E1C" w14:textId="4C95DC6C" w:rsidR="00B03A01" w:rsidRDefault="00B03A01" w:rsidP="00837535">
      <w:pPr>
        <w:tabs>
          <w:tab w:val="left" w:pos="426"/>
        </w:tabs>
        <w:spacing w:line="360" w:lineRule="auto"/>
        <w:ind w:left="-1418" w:right="-853"/>
        <w:jc w:val="center"/>
        <w:rPr>
          <w:rFonts w:ascii="Arial" w:hAnsi="Arial" w:cs="Arial"/>
          <w:sz w:val="24"/>
          <w:szCs w:val="24"/>
        </w:rPr>
      </w:pPr>
    </w:p>
    <w:p w14:paraId="2C35F2E7" w14:textId="77777777" w:rsidR="000560FF" w:rsidRDefault="000560FF"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17F0" w14:textId="77777777" w:rsidR="00951AB3" w:rsidRDefault="00951AB3" w:rsidP="008C505E">
      <w:r>
        <w:separator/>
      </w:r>
    </w:p>
  </w:endnote>
  <w:endnote w:type="continuationSeparator" w:id="0">
    <w:p w14:paraId="1CACCEC8" w14:textId="77777777" w:rsidR="00951AB3" w:rsidRDefault="00951AB3"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0BDC" w14:textId="77777777" w:rsidR="00951AB3" w:rsidRDefault="00951AB3" w:rsidP="008C505E">
      <w:r>
        <w:separator/>
      </w:r>
    </w:p>
  </w:footnote>
  <w:footnote w:type="continuationSeparator" w:id="0">
    <w:p w14:paraId="202244B7" w14:textId="77777777" w:rsidR="00951AB3" w:rsidRDefault="00951AB3"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18"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3"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3"/>
  </w:num>
  <w:num w:numId="2" w16cid:durableId="2023432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0"/>
  </w:num>
  <w:num w:numId="5" w16cid:durableId="1857572724">
    <w:abstractNumId w:val="6"/>
  </w:num>
  <w:num w:numId="6" w16cid:durableId="614795322">
    <w:abstractNumId w:val="18"/>
  </w:num>
  <w:num w:numId="7" w16cid:durableId="1081830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4"/>
  </w:num>
  <w:num w:numId="12" w16cid:durableId="1199969313">
    <w:abstractNumId w:val="1"/>
  </w:num>
  <w:num w:numId="13" w16cid:durableId="1140994218">
    <w:abstractNumId w:val="2"/>
  </w:num>
  <w:num w:numId="14" w16cid:durableId="376272878">
    <w:abstractNumId w:val="8"/>
  </w:num>
  <w:num w:numId="15" w16cid:durableId="503056284">
    <w:abstractNumId w:val="23"/>
  </w:num>
  <w:num w:numId="16" w16cid:durableId="1010764988">
    <w:abstractNumId w:val="0"/>
  </w:num>
  <w:num w:numId="17" w16cid:durableId="1231769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7"/>
  </w:num>
  <w:num w:numId="21" w16cid:durableId="1787771899">
    <w:abstractNumId w:val="10"/>
  </w:num>
  <w:num w:numId="22" w16cid:durableId="384064879">
    <w:abstractNumId w:val="19"/>
  </w:num>
  <w:num w:numId="23" w16cid:durableId="2085295472">
    <w:abstractNumId w:val="16"/>
  </w:num>
  <w:num w:numId="24" w16cid:durableId="59209712">
    <w:abstractNumId w:val="12"/>
  </w:num>
  <w:num w:numId="25" w16cid:durableId="643123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17"/>
  </w:num>
  <w:num w:numId="27" w16cid:durableId="10595520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2BE6"/>
    <w:rsid w:val="00014A81"/>
    <w:rsid w:val="00023624"/>
    <w:rsid w:val="00025289"/>
    <w:rsid w:val="00025680"/>
    <w:rsid w:val="00035B51"/>
    <w:rsid w:val="00036B93"/>
    <w:rsid w:val="00040F42"/>
    <w:rsid w:val="00042CE1"/>
    <w:rsid w:val="00044566"/>
    <w:rsid w:val="000448B3"/>
    <w:rsid w:val="00044A44"/>
    <w:rsid w:val="0004723C"/>
    <w:rsid w:val="000504C4"/>
    <w:rsid w:val="000560FF"/>
    <w:rsid w:val="000611CE"/>
    <w:rsid w:val="00071594"/>
    <w:rsid w:val="00072689"/>
    <w:rsid w:val="00073489"/>
    <w:rsid w:val="00075ECD"/>
    <w:rsid w:val="00091353"/>
    <w:rsid w:val="000A534F"/>
    <w:rsid w:val="000A7B08"/>
    <w:rsid w:val="000B2F50"/>
    <w:rsid w:val="000B5F37"/>
    <w:rsid w:val="000C219E"/>
    <w:rsid w:val="000C43E3"/>
    <w:rsid w:val="000D38AD"/>
    <w:rsid w:val="000D4335"/>
    <w:rsid w:val="000D66FA"/>
    <w:rsid w:val="000E0DF7"/>
    <w:rsid w:val="000E1F4A"/>
    <w:rsid w:val="000E5E84"/>
    <w:rsid w:val="000E6ABE"/>
    <w:rsid w:val="000F57DD"/>
    <w:rsid w:val="000F5880"/>
    <w:rsid w:val="000F6A1E"/>
    <w:rsid w:val="001018E6"/>
    <w:rsid w:val="00106584"/>
    <w:rsid w:val="00110952"/>
    <w:rsid w:val="00117C86"/>
    <w:rsid w:val="00121BEB"/>
    <w:rsid w:val="00126636"/>
    <w:rsid w:val="00136658"/>
    <w:rsid w:val="001368CC"/>
    <w:rsid w:val="00141731"/>
    <w:rsid w:val="001424A6"/>
    <w:rsid w:val="00145A76"/>
    <w:rsid w:val="00153DCA"/>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11F2F"/>
    <w:rsid w:val="00216526"/>
    <w:rsid w:val="0022104D"/>
    <w:rsid w:val="002223C5"/>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A309D"/>
    <w:rsid w:val="002A7795"/>
    <w:rsid w:val="002B214F"/>
    <w:rsid w:val="002B2B9B"/>
    <w:rsid w:val="002B58F4"/>
    <w:rsid w:val="002B6C0A"/>
    <w:rsid w:val="002C1DDC"/>
    <w:rsid w:val="002C2234"/>
    <w:rsid w:val="002C4BBC"/>
    <w:rsid w:val="002C5E96"/>
    <w:rsid w:val="002D126C"/>
    <w:rsid w:val="002D3CEE"/>
    <w:rsid w:val="002D4921"/>
    <w:rsid w:val="002D64C6"/>
    <w:rsid w:val="002E06E7"/>
    <w:rsid w:val="002E0A9C"/>
    <w:rsid w:val="002E25C4"/>
    <w:rsid w:val="002E33E2"/>
    <w:rsid w:val="002E456E"/>
    <w:rsid w:val="002F2719"/>
    <w:rsid w:val="002F35D5"/>
    <w:rsid w:val="00301155"/>
    <w:rsid w:val="00302F65"/>
    <w:rsid w:val="00303798"/>
    <w:rsid w:val="0030512A"/>
    <w:rsid w:val="00312D01"/>
    <w:rsid w:val="00316987"/>
    <w:rsid w:val="003245D4"/>
    <w:rsid w:val="0033491D"/>
    <w:rsid w:val="00336B75"/>
    <w:rsid w:val="00342144"/>
    <w:rsid w:val="00344C2D"/>
    <w:rsid w:val="00345FD6"/>
    <w:rsid w:val="00347E61"/>
    <w:rsid w:val="00350802"/>
    <w:rsid w:val="00353F64"/>
    <w:rsid w:val="00354C12"/>
    <w:rsid w:val="003632ED"/>
    <w:rsid w:val="00366B22"/>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F0639"/>
    <w:rsid w:val="003F2A64"/>
    <w:rsid w:val="003F461B"/>
    <w:rsid w:val="003F6E72"/>
    <w:rsid w:val="003F7A6C"/>
    <w:rsid w:val="00400FA9"/>
    <w:rsid w:val="004014FA"/>
    <w:rsid w:val="00401876"/>
    <w:rsid w:val="00402A31"/>
    <w:rsid w:val="00410DC5"/>
    <w:rsid w:val="00415389"/>
    <w:rsid w:val="00415FDC"/>
    <w:rsid w:val="004166CE"/>
    <w:rsid w:val="00431000"/>
    <w:rsid w:val="004311E4"/>
    <w:rsid w:val="00432735"/>
    <w:rsid w:val="0043281C"/>
    <w:rsid w:val="00432C55"/>
    <w:rsid w:val="004333DB"/>
    <w:rsid w:val="0043496F"/>
    <w:rsid w:val="00436C39"/>
    <w:rsid w:val="0044145C"/>
    <w:rsid w:val="0044549E"/>
    <w:rsid w:val="00446213"/>
    <w:rsid w:val="00446A12"/>
    <w:rsid w:val="00450C35"/>
    <w:rsid w:val="00452065"/>
    <w:rsid w:val="00452E41"/>
    <w:rsid w:val="004541CA"/>
    <w:rsid w:val="00454C67"/>
    <w:rsid w:val="00461F3E"/>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01C"/>
    <w:rsid w:val="0051387B"/>
    <w:rsid w:val="00514F2B"/>
    <w:rsid w:val="00517B6D"/>
    <w:rsid w:val="00520C5B"/>
    <w:rsid w:val="00520F70"/>
    <w:rsid w:val="00521A96"/>
    <w:rsid w:val="00522C74"/>
    <w:rsid w:val="005361F7"/>
    <w:rsid w:val="00542255"/>
    <w:rsid w:val="00562243"/>
    <w:rsid w:val="00564B84"/>
    <w:rsid w:val="00565817"/>
    <w:rsid w:val="00571079"/>
    <w:rsid w:val="005767C4"/>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4753"/>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33FB"/>
    <w:rsid w:val="00686928"/>
    <w:rsid w:val="006875C3"/>
    <w:rsid w:val="006915E9"/>
    <w:rsid w:val="006A6578"/>
    <w:rsid w:val="006B0C98"/>
    <w:rsid w:val="006B21A6"/>
    <w:rsid w:val="006B380B"/>
    <w:rsid w:val="006B5341"/>
    <w:rsid w:val="006B6E0F"/>
    <w:rsid w:val="006C4239"/>
    <w:rsid w:val="006C6362"/>
    <w:rsid w:val="006C7F57"/>
    <w:rsid w:val="006D21D2"/>
    <w:rsid w:val="006D4F32"/>
    <w:rsid w:val="006D61DA"/>
    <w:rsid w:val="006F2011"/>
    <w:rsid w:val="006F2E3B"/>
    <w:rsid w:val="006F4BF8"/>
    <w:rsid w:val="00701A20"/>
    <w:rsid w:val="007100E5"/>
    <w:rsid w:val="0071178B"/>
    <w:rsid w:val="0071289C"/>
    <w:rsid w:val="007130E0"/>
    <w:rsid w:val="00723AB2"/>
    <w:rsid w:val="007250F3"/>
    <w:rsid w:val="00731065"/>
    <w:rsid w:val="00735D4C"/>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70BE"/>
    <w:rsid w:val="007C7686"/>
    <w:rsid w:val="007D3BF2"/>
    <w:rsid w:val="007D5216"/>
    <w:rsid w:val="007E3B08"/>
    <w:rsid w:val="007E4029"/>
    <w:rsid w:val="007F1896"/>
    <w:rsid w:val="007F2959"/>
    <w:rsid w:val="00801EF6"/>
    <w:rsid w:val="00804444"/>
    <w:rsid w:val="00807804"/>
    <w:rsid w:val="00810E5A"/>
    <w:rsid w:val="00811D34"/>
    <w:rsid w:val="00816CCE"/>
    <w:rsid w:val="00822D1C"/>
    <w:rsid w:val="00827937"/>
    <w:rsid w:val="00831562"/>
    <w:rsid w:val="00833586"/>
    <w:rsid w:val="00835BE1"/>
    <w:rsid w:val="00835D21"/>
    <w:rsid w:val="00835F3B"/>
    <w:rsid w:val="00837535"/>
    <w:rsid w:val="00837744"/>
    <w:rsid w:val="0084086A"/>
    <w:rsid w:val="00843EBD"/>
    <w:rsid w:val="00847713"/>
    <w:rsid w:val="00847E8A"/>
    <w:rsid w:val="008535EC"/>
    <w:rsid w:val="00861C39"/>
    <w:rsid w:val="00866C37"/>
    <w:rsid w:val="00866D98"/>
    <w:rsid w:val="00867D96"/>
    <w:rsid w:val="00872927"/>
    <w:rsid w:val="00873431"/>
    <w:rsid w:val="00877FE6"/>
    <w:rsid w:val="00883234"/>
    <w:rsid w:val="00884F3F"/>
    <w:rsid w:val="0088794F"/>
    <w:rsid w:val="0089072A"/>
    <w:rsid w:val="0089229D"/>
    <w:rsid w:val="00893277"/>
    <w:rsid w:val="008A08BD"/>
    <w:rsid w:val="008A4F4D"/>
    <w:rsid w:val="008A613F"/>
    <w:rsid w:val="008B5666"/>
    <w:rsid w:val="008C1FB8"/>
    <w:rsid w:val="008C2824"/>
    <w:rsid w:val="008C505E"/>
    <w:rsid w:val="008D4F81"/>
    <w:rsid w:val="008E01B5"/>
    <w:rsid w:val="008E3F5D"/>
    <w:rsid w:val="008E621D"/>
    <w:rsid w:val="00902400"/>
    <w:rsid w:val="00904F04"/>
    <w:rsid w:val="0090727D"/>
    <w:rsid w:val="009144E3"/>
    <w:rsid w:val="009246CC"/>
    <w:rsid w:val="0092661B"/>
    <w:rsid w:val="009351F4"/>
    <w:rsid w:val="00937640"/>
    <w:rsid w:val="00941F49"/>
    <w:rsid w:val="00946428"/>
    <w:rsid w:val="00947B74"/>
    <w:rsid w:val="00951AB3"/>
    <w:rsid w:val="00954A18"/>
    <w:rsid w:val="00960447"/>
    <w:rsid w:val="0096281E"/>
    <w:rsid w:val="009704AD"/>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32EA"/>
    <w:rsid w:val="009C6A8C"/>
    <w:rsid w:val="009D0BB0"/>
    <w:rsid w:val="009D7BA9"/>
    <w:rsid w:val="009F64D7"/>
    <w:rsid w:val="00A026C8"/>
    <w:rsid w:val="00A02AAA"/>
    <w:rsid w:val="00A03D80"/>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9303D"/>
    <w:rsid w:val="00A9484F"/>
    <w:rsid w:val="00A96554"/>
    <w:rsid w:val="00AA2EA0"/>
    <w:rsid w:val="00AB0365"/>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B048F"/>
    <w:rsid w:val="00BC2B17"/>
    <w:rsid w:val="00BC4C98"/>
    <w:rsid w:val="00BC7A14"/>
    <w:rsid w:val="00BD203F"/>
    <w:rsid w:val="00BD4164"/>
    <w:rsid w:val="00BD5003"/>
    <w:rsid w:val="00BD7558"/>
    <w:rsid w:val="00BD79BA"/>
    <w:rsid w:val="00BE0275"/>
    <w:rsid w:val="00BE24AE"/>
    <w:rsid w:val="00BE4227"/>
    <w:rsid w:val="00BE5D67"/>
    <w:rsid w:val="00BF1133"/>
    <w:rsid w:val="00BF5B62"/>
    <w:rsid w:val="00C05DE3"/>
    <w:rsid w:val="00C0789D"/>
    <w:rsid w:val="00C25765"/>
    <w:rsid w:val="00C32A4A"/>
    <w:rsid w:val="00C33B66"/>
    <w:rsid w:val="00C377AF"/>
    <w:rsid w:val="00C46080"/>
    <w:rsid w:val="00C5278B"/>
    <w:rsid w:val="00C53211"/>
    <w:rsid w:val="00C55F72"/>
    <w:rsid w:val="00C631D2"/>
    <w:rsid w:val="00C637A7"/>
    <w:rsid w:val="00C63D41"/>
    <w:rsid w:val="00C75272"/>
    <w:rsid w:val="00C81906"/>
    <w:rsid w:val="00C8349F"/>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0C1"/>
    <w:rsid w:val="00D93D5D"/>
    <w:rsid w:val="00D94487"/>
    <w:rsid w:val="00D96402"/>
    <w:rsid w:val="00DA0ECE"/>
    <w:rsid w:val="00DA1778"/>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991"/>
    <w:rsid w:val="00DE39F8"/>
    <w:rsid w:val="00DF2E34"/>
    <w:rsid w:val="00DF5724"/>
    <w:rsid w:val="00DF7E65"/>
    <w:rsid w:val="00E014F5"/>
    <w:rsid w:val="00E053D0"/>
    <w:rsid w:val="00E07491"/>
    <w:rsid w:val="00E101EE"/>
    <w:rsid w:val="00E13039"/>
    <w:rsid w:val="00E137FB"/>
    <w:rsid w:val="00E15BFC"/>
    <w:rsid w:val="00E227A7"/>
    <w:rsid w:val="00E24B26"/>
    <w:rsid w:val="00E2666C"/>
    <w:rsid w:val="00E279AD"/>
    <w:rsid w:val="00E33761"/>
    <w:rsid w:val="00E34E95"/>
    <w:rsid w:val="00E40D26"/>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3402"/>
    <w:rsid w:val="00F51295"/>
    <w:rsid w:val="00F51E77"/>
    <w:rsid w:val="00F56A0F"/>
    <w:rsid w:val="00F56F49"/>
    <w:rsid w:val="00F662BB"/>
    <w:rsid w:val="00F67FD6"/>
    <w:rsid w:val="00F70E2C"/>
    <w:rsid w:val="00F76371"/>
    <w:rsid w:val="00F765CC"/>
    <w:rsid w:val="00F765ED"/>
    <w:rsid w:val="00F815F1"/>
    <w:rsid w:val="00F83DD0"/>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11009</Words>
  <Characters>59449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cp:lastPrinted>2022-10-18T20:19:00Z</cp:lastPrinted>
  <dcterms:created xsi:type="dcterms:W3CDTF">2022-10-18T21:44:00Z</dcterms:created>
  <dcterms:modified xsi:type="dcterms:W3CDTF">2022-10-19T11:54:00Z</dcterms:modified>
</cp:coreProperties>
</file>