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EED651B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43496F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C9D690D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B824AE">
        <w:rPr>
          <w:rFonts w:ascii="Arial" w:hAnsi="Arial" w:cs="Arial"/>
          <w:sz w:val="24"/>
          <w:szCs w:val="24"/>
        </w:rPr>
        <w:t>6</w:t>
      </w:r>
      <w:r w:rsidR="0043496F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BEFB611" w14:textId="0E4ADC75" w:rsidR="003A0BE8" w:rsidRDefault="003A0BE8" w:rsidP="003A0BE8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bookmarkStart w:id="0" w:name="_Hlk105662138"/>
      <w:r w:rsidRPr="003A0BE8">
        <w:rPr>
          <w:rFonts w:ascii="Arial" w:hAnsi="Arial" w:cs="Arial"/>
          <w:iCs/>
          <w:sz w:val="24"/>
          <w:szCs w:val="24"/>
        </w:rPr>
        <w:t>Autoriza o Poder Executivo Municipal a firmar convênio com o Estado do Rio Grande do Sul, por intermédio da Coordenadoria Regional de Educação – CRE, visando a execução de obras de reforma na quadra de esportes da Escola Estadual de Ensino Fundamental de Pinhal, e dá outras providências.</w:t>
      </w:r>
    </w:p>
    <w:p w14:paraId="68F81B77" w14:textId="77777777" w:rsidR="003A0BE8" w:rsidRPr="003A0BE8" w:rsidRDefault="003A0BE8" w:rsidP="003A0BE8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</w:p>
    <w:p w14:paraId="3628AB6E" w14:textId="77777777" w:rsidR="003A0BE8" w:rsidRPr="003A0BE8" w:rsidRDefault="003A0BE8" w:rsidP="003A0BE8">
      <w:pPr>
        <w:ind w:left="3402"/>
        <w:jc w:val="both"/>
        <w:rPr>
          <w:rFonts w:ascii="Arial" w:hAnsi="Arial" w:cs="Arial"/>
          <w:i/>
          <w:sz w:val="20"/>
        </w:rPr>
      </w:pPr>
    </w:p>
    <w:p w14:paraId="51455B2C" w14:textId="77777777" w:rsidR="003A0BE8" w:rsidRPr="003A0BE8" w:rsidRDefault="003A0BE8" w:rsidP="003A0BE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BE8">
        <w:rPr>
          <w:rFonts w:ascii="Arial" w:hAnsi="Arial" w:cs="Arial"/>
          <w:i/>
          <w:sz w:val="24"/>
          <w:szCs w:val="24"/>
        </w:rPr>
        <w:tab/>
      </w:r>
      <w:r w:rsidRPr="003A0BE8">
        <w:rPr>
          <w:rFonts w:ascii="Arial" w:hAnsi="Arial" w:cs="Arial"/>
          <w:i/>
          <w:sz w:val="24"/>
          <w:szCs w:val="24"/>
        </w:rPr>
        <w:tab/>
      </w:r>
      <w:r w:rsidRPr="003A0BE8">
        <w:rPr>
          <w:rFonts w:ascii="Arial" w:hAnsi="Arial" w:cs="Arial"/>
          <w:b/>
          <w:i/>
          <w:sz w:val="24"/>
          <w:szCs w:val="24"/>
        </w:rPr>
        <w:t>EDMILSON BUSATTO</w:t>
      </w:r>
      <w:r w:rsidRPr="003A0BE8">
        <w:rPr>
          <w:rFonts w:ascii="Arial" w:hAnsi="Arial" w:cs="Arial"/>
          <w:b/>
          <w:sz w:val="24"/>
          <w:szCs w:val="24"/>
        </w:rPr>
        <w:t>,</w:t>
      </w:r>
      <w:r w:rsidRPr="003A0BE8">
        <w:rPr>
          <w:rFonts w:ascii="Arial" w:hAnsi="Arial" w:cs="Arial"/>
          <w:i/>
          <w:sz w:val="24"/>
          <w:szCs w:val="24"/>
        </w:rPr>
        <w:t xml:space="preserve"> </w:t>
      </w:r>
      <w:r w:rsidRPr="003A0BE8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6CC79A5F" w14:textId="77777777" w:rsidR="003A0BE8" w:rsidRPr="003A0BE8" w:rsidRDefault="003A0BE8" w:rsidP="003A0BE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BE8">
        <w:rPr>
          <w:rFonts w:ascii="Arial" w:hAnsi="Arial" w:cs="Arial"/>
          <w:b/>
          <w:i/>
          <w:sz w:val="24"/>
          <w:szCs w:val="24"/>
        </w:rPr>
        <w:tab/>
      </w:r>
      <w:r w:rsidRPr="003A0BE8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3A0BE8">
        <w:rPr>
          <w:rFonts w:ascii="Arial" w:hAnsi="Arial" w:cs="Arial"/>
          <w:i/>
          <w:sz w:val="24"/>
          <w:szCs w:val="24"/>
        </w:rPr>
        <w:t xml:space="preserve"> </w:t>
      </w:r>
      <w:r w:rsidRPr="003A0BE8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07A2439" w14:textId="77777777" w:rsidR="003A0BE8" w:rsidRPr="003A0BE8" w:rsidRDefault="003A0BE8" w:rsidP="003A0BE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A0BE8">
        <w:rPr>
          <w:rFonts w:ascii="Arial" w:hAnsi="Arial" w:cs="Arial"/>
          <w:b/>
          <w:i/>
          <w:sz w:val="24"/>
          <w:szCs w:val="24"/>
        </w:rPr>
        <w:tab/>
      </w:r>
      <w:r w:rsidRPr="003A0BE8">
        <w:rPr>
          <w:rFonts w:ascii="Arial" w:hAnsi="Arial" w:cs="Arial"/>
          <w:b/>
          <w:i/>
          <w:sz w:val="24"/>
          <w:szCs w:val="24"/>
        </w:rPr>
        <w:tab/>
      </w:r>
      <w:r w:rsidRPr="003A0BE8">
        <w:rPr>
          <w:rFonts w:ascii="Arial" w:hAnsi="Arial" w:cs="Arial"/>
          <w:b/>
          <w:sz w:val="24"/>
          <w:szCs w:val="24"/>
        </w:rPr>
        <w:t>Art. 1º</w:t>
      </w:r>
      <w:r w:rsidRPr="003A0BE8">
        <w:rPr>
          <w:rFonts w:ascii="Arial" w:hAnsi="Arial" w:cs="Arial"/>
          <w:sz w:val="24"/>
          <w:szCs w:val="24"/>
        </w:rPr>
        <w:t xml:space="preserve"> Fica o Poder Executivo Municipal autorizado a firmar convênio com o Estado do Rio Grande do Sul, por intermédio da Coordenadoria Regional de Educação – CRE, visando o repasse de emenda impositiva no valor de R$ 27.946,66 (vinte e sete mil, novecentos e quarenta e seis reais e sessenta e seis centavos) visando a execução de obras de reforma na quadra de esportes da Escola Estadual de Ensino Fundamental de Pinhal.</w:t>
      </w:r>
    </w:p>
    <w:p w14:paraId="28CC8656" w14:textId="77777777" w:rsidR="003A0BE8" w:rsidRPr="003A0BE8" w:rsidRDefault="003A0BE8" w:rsidP="003A0BE8">
      <w:pPr>
        <w:spacing w:after="200" w:line="276" w:lineRule="auto"/>
        <w:ind w:firstLine="1411"/>
        <w:jc w:val="both"/>
        <w:rPr>
          <w:rFonts w:ascii="Arial" w:hAnsi="Arial" w:cs="Arial"/>
          <w:b/>
          <w:sz w:val="24"/>
          <w:szCs w:val="24"/>
        </w:rPr>
      </w:pPr>
      <w:r w:rsidRPr="003A0BE8">
        <w:rPr>
          <w:rFonts w:ascii="Arial" w:hAnsi="Arial" w:cs="Arial"/>
          <w:b/>
          <w:sz w:val="24"/>
          <w:szCs w:val="24"/>
        </w:rPr>
        <w:t xml:space="preserve">Art. 2º </w:t>
      </w:r>
      <w:r w:rsidRPr="003A0BE8">
        <w:rPr>
          <w:rFonts w:ascii="Arial" w:hAnsi="Arial" w:cs="Arial"/>
          <w:bCs/>
          <w:sz w:val="24"/>
          <w:szCs w:val="24"/>
        </w:rPr>
        <w:t>Para cobertura das despesas decorrentes da aplicação desta Lei, será utilizada dotação orçamentária específica.</w:t>
      </w:r>
    </w:p>
    <w:p w14:paraId="494A4CBC" w14:textId="77777777" w:rsidR="003A0BE8" w:rsidRPr="003A0BE8" w:rsidRDefault="003A0BE8" w:rsidP="003A0BE8">
      <w:pPr>
        <w:spacing w:after="200" w:line="276" w:lineRule="auto"/>
        <w:ind w:firstLine="1411"/>
        <w:jc w:val="both"/>
        <w:rPr>
          <w:rFonts w:ascii="Arial" w:hAnsi="Arial" w:cs="Arial"/>
          <w:sz w:val="24"/>
          <w:szCs w:val="24"/>
        </w:rPr>
      </w:pPr>
      <w:r w:rsidRPr="003A0BE8">
        <w:rPr>
          <w:rFonts w:ascii="Arial" w:hAnsi="Arial" w:cs="Arial"/>
          <w:b/>
          <w:sz w:val="24"/>
          <w:szCs w:val="24"/>
        </w:rPr>
        <w:t xml:space="preserve">Art. 3º </w:t>
      </w:r>
      <w:r w:rsidRPr="003A0BE8">
        <w:rPr>
          <w:rFonts w:ascii="Arial" w:hAnsi="Arial" w:cs="Arial"/>
          <w:sz w:val="24"/>
          <w:szCs w:val="24"/>
        </w:rPr>
        <w:t>Esta Lei entra em vigor na data de sua publicação.</w:t>
      </w:r>
    </w:p>
    <w:bookmarkEnd w:id="0"/>
    <w:p w14:paraId="31CB2F35" w14:textId="7DD3E45F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E5A32" w14:textId="77777777" w:rsidR="00A11109" w:rsidRDefault="00A11109" w:rsidP="008C505E">
      <w:r>
        <w:separator/>
      </w:r>
    </w:p>
  </w:endnote>
  <w:endnote w:type="continuationSeparator" w:id="0">
    <w:p w14:paraId="609D8549" w14:textId="77777777" w:rsidR="00A11109" w:rsidRDefault="00A1110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04D9" w14:textId="77777777" w:rsidR="00A11109" w:rsidRDefault="00A11109" w:rsidP="008C505E">
      <w:r>
        <w:separator/>
      </w:r>
    </w:p>
  </w:footnote>
  <w:footnote w:type="continuationSeparator" w:id="0">
    <w:p w14:paraId="14BF372B" w14:textId="77777777" w:rsidR="00A11109" w:rsidRDefault="00A1110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10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2022-07-20T12:32:00Z</cp:lastPrinted>
  <dcterms:created xsi:type="dcterms:W3CDTF">2022-07-20T12:33:00Z</dcterms:created>
  <dcterms:modified xsi:type="dcterms:W3CDTF">2022-07-20T12:34:00Z</dcterms:modified>
</cp:coreProperties>
</file>