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7D" w:rsidRPr="0061508E" w:rsidRDefault="00A90C7D" w:rsidP="00A90C7D">
      <w:pPr>
        <w:pStyle w:val="Ttulo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1508E">
        <w:rPr>
          <w:rFonts w:ascii="Arial" w:hAnsi="Arial" w:cs="Arial"/>
          <w:sz w:val="24"/>
          <w:szCs w:val="24"/>
        </w:rPr>
        <w:t>APRESENTAÇÃO DE EMENDAS LDO  2018</w:t>
      </w:r>
    </w:p>
    <w:p w:rsidR="00A90C7D" w:rsidRPr="0061508E" w:rsidRDefault="00493081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5888" behindDoc="0" locked="0" layoutInCell="1" allowOverlap="1" wp14:anchorId="33AC4814" wp14:editId="73560154">
            <wp:simplePos x="0" y="0"/>
            <wp:positionH relativeFrom="margin">
              <wp:posOffset>3482340</wp:posOffset>
            </wp:positionH>
            <wp:positionV relativeFrom="paragraph">
              <wp:posOffset>5868670</wp:posOffset>
            </wp:positionV>
            <wp:extent cx="1133856" cy="1106424"/>
            <wp:effectExtent l="0" t="0" r="9525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 GIACOMINI 20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80"/>
        <w:gridCol w:w="941"/>
        <w:gridCol w:w="3403"/>
        <w:gridCol w:w="2970"/>
      </w:tblGrid>
      <w:tr w:rsidR="00A90C7D" w:rsidRPr="0061508E" w:rsidTr="000B206C">
        <w:tc>
          <w:tcPr>
            <w:tcW w:w="3252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Emenda supressiva Nº 01</w:t>
            </w:r>
          </w:p>
        </w:tc>
        <w:tc>
          <w:tcPr>
            <w:tcW w:w="1748" w:type="pct"/>
          </w:tcPr>
          <w:p w:rsidR="00A90C7D" w:rsidRPr="0061508E" w:rsidRDefault="00A90C7D" w:rsidP="000B206C">
            <w:pPr>
              <w:pStyle w:val="Ttulo2"/>
              <w:spacing w:before="0" w:after="0"/>
              <w:rPr>
                <w:i w:val="0"/>
                <w:sz w:val="24"/>
                <w:szCs w:val="24"/>
              </w:rPr>
            </w:pPr>
          </w:p>
        </w:tc>
      </w:tr>
      <w:tr w:rsidR="00A90C7D" w:rsidRPr="0061508E" w:rsidTr="000B206C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90C7D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PROJETO DE LEI 109/2017</w:t>
            </w:r>
          </w:p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LDO</w:t>
            </w:r>
          </w:p>
        </w:tc>
        <w:tc>
          <w:tcPr>
            <w:tcW w:w="3751" w:type="pct"/>
            <w:gridSpan w:val="2"/>
          </w:tcPr>
          <w:p w:rsidR="00A90C7D" w:rsidRPr="0061508E" w:rsidRDefault="00A90C7D" w:rsidP="000B20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Suprime a previsão do Regime de Execução das Emendas Individuais dos parlamentares à Lei Orçamentária Anual.</w:t>
            </w:r>
          </w:p>
        </w:tc>
      </w:tr>
      <w:tr w:rsidR="00A90C7D" w:rsidRPr="0061508E" w:rsidTr="000B206C">
        <w:tc>
          <w:tcPr>
            <w:tcW w:w="695" w:type="pct"/>
            <w:tcBorders>
              <w:top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Autoria:</w:t>
            </w:r>
          </w:p>
        </w:tc>
        <w:tc>
          <w:tcPr>
            <w:tcW w:w="4305" w:type="pct"/>
            <w:gridSpan w:val="3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Airton Giacomini, Antonio Gilberto Portz, Antônio Manoel Pereira, Paulo Cesar Cornelius e Tiago Delwing Pedroso. </w:t>
            </w:r>
          </w:p>
        </w:tc>
      </w:tr>
      <w:tr w:rsidR="00A90C7D" w:rsidRPr="0061508E" w:rsidTr="000B206C">
        <w:trPr>
          <w:trHeight w:val="7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Justificativa:</w:t>
            </w:r>
          </w:p>
          <w:p w:rsidR="00A90C7D" w:rsidRPr="0061508E" w:rsidRDefault="00A90C7D" w:rsidP="000B206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As disposições relativas ao Regime de Execução das Emendas Individuais apresentadas ao projeto de Lei Orçamentária anual, baseadas na Emenda Constitucional nº 86, que torna impositiva a execução das emendas individuais dos parlamentares ao Orçamento, para que sejam previstas na Lei de Diretrizes Orçamentárias devem estar regulamentadas na Lei Orgânica do Município e Regimento Interno da Câmara de Vereadores.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493081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3840" behindDoc="0" locked="0" layoutInCell="1" allowOverlap="1" wp14:anchorId="73DD5B80" wp14:editId="0E0C3457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189230</wp:posOffset>
                  </wp:positionV>
                  <wp:extent cx="3227705" cy="804545"/>
                  <wp:effectExtent l="0" t="0" r="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SS TONINHO 2017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70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C7D" w:rsidRPr="0061508E">
              <w:rPr>
                <w:rFonts w:ascii="Arial" w:hAnsi="Arial" w:cs="Arial"/>
                <w:sz w:val="24"/>
                <w:szCs w:val="24"/>
              </w:rPr>
              <w:t xml:space="preserve">Razão pela qual faz-se necessária a supressão dos seguintes dispositivos: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508E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0061508E">
              <w:rPr>
                <w:rFonts w:ascii="Arial" w:hAnsi="Arial" w:cs="Arial"/>
                <w:sz w:val="24"/>
                <w:szCs w:val="24"/>
                <w:lang w:val="en-US"/>
              </w:rPr>
              <w:t xml:space="preserve"> VIII, Art. 1º;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508E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0061508E">
              <w:rPr>
                <w:rFonts w:ascii="Arial" w:hAnsi="Arial" w:cs="Arial"/>
                <w:sz w:val="24"/>
                <w:szCs w:val="24"/>
                <w:lang w:val="en-US"/>
              </w:rPr>
              <w:t xml:space="preserve"> III, Art. 14;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Capítulo IX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08E">
              <w:rPr>
                <w:rFonts w:ascii="Arial" w:hAnsi="Arial" w:cs="Arial"/>
                <w:sz w:val="24"/>
                <w:szCs w:val="24"/>
              </w:rPr>
              <w:t>Art</w:t>
            </w:r>
            <w:r>
              <w:rPr>
                <w:rFonts w:ascii="Arial" w:hAnsi="Arial" w:cs="Arial"/>
                <w:sz w:val="24"/>
                <w:szCs w:val="24"/>
              </w:rPr>
              <w:t>igo</w:t>
            </w:r>
            <w:r w:rsidRPr="0061508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1508E">
              <w:rPr>
                <w:rFonts w:ascii="Arial" w:hAnsi="Arial" w:cs="Arial"/>
                <w:sz w:val="24"/>
                <w:szCs w:val="24"/>
              </w:rPr>
              <w:t xml:space="preserve"> 55, 56, 57,58, 59</w:t>
            </w:r>
          </w:p>
        </w:tc>
      </w:tr>
    </w:tbl>
    <w:p w:rsidR="00A90C7D" w:rsidRDefault="00A90C7D" w:rsidP="00A90C7D">
      <w:pPr>
        <w:rPr>
          <w:rFonts w:ascii="Arial" w:hAnsi="Arial" w:cs="Arial"/>
          <w:sz w:val="24"/>
          <w:szCs w:val="24"/>
        </w:rPr>
      </w:pP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 wp14:anchorId="2CE0D978" wp14:editId="49038D10">
            <wp:simplePos x="0" y="0"/>
            <wp:positionH relativeFrom="column">
              <wp:posOffset>4244340</wp:posOffset>
            </wp:positionH>
            <wp:positionV relativeFrom="paragraph">
              <wp:posOffset>12700</wp:posOffset>
            </wp:positionV>
            <wp:extent cx="2093976" cy="932688"/>
            <wp:effectExtent l="0" t="0" r="1905" b="127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TIAGO 20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284768B2" wp14:editId="56882B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15668" cy="932688"/>
            <wp:effectExtent l="0" t="0" r="889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BETINHO 201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</w:p>
    <w:p w:rsidR="00A90C7D" w:rsidRDefault="00493081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7936" behindDoc="0" locked="0" layoutInCell="1" allowOverlap="1" wp14:anchorId="44A3E7FF" wp14:editId="5F080B95">
            <wp:simplePos x="0" y="0"/>
            <wp:positionH relativeFrom="column">
              <wp:posOffset>2171700</wp:posOffset>
            </wp:positionH>
            <wp:positionV relativeFrom="page">
              <wp:posOffset>9526905</wp:posOffset>
            </wp:positionV>
            <wp:extent cx="2016125" cy="726440"/>
            <wp:effectExtent l="0" t="0" r="3175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 PC 201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0C7D" w:rsidRPr="0061508E" w:rsidRDefault="00A90C7D" w:rsidP="00A90C7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82"/>
        <w:gridCol w:w="1364"/>
        <w:gridCol w:w="2411"/>
        <w:gridCol w:w="3537"/>
      </w:tblGrid>
      <w:tr w:rsidR="00A90C7D" w:rsidRPr="0061508E" w:rsidTr="000B206C">
        <w:tc>
          <w:tcPr>
            <w:tcW w:w="2918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Emenda supressiva Nº 02</w:t>
            </w:r>
          </w:p>
        </w:tc>
        <w:tc>
          <w:tcPr>
            <w:tcW w:w="2082" w:type="pct"/>
          </w:tcPr>
          <w:p w:rsidR="00A90C7D" w:rsidRPr="0061508E" w:rsidRDefault="00A90C7D" w:rsidP="000B206C">
            <w:pPr>
              <w:pStyle w:val="Ttulo2"/>
              <w:spacing w:before="0" w:after="0"/>
              <w:rPr>
                <w:i w:val="0"/>
                <w:sz w:val="24"/>
                <w:szCs w:val="24"/>
              </w:rPr>
            </w:pPr>
          </w:p>
        </w:tc>
      </w:tr>
      <w:tr w:rsidR="00A90C7D" w:rsidRPr="0061508E" w:rsidTr="000B206C">
        <w:trPr>
          <w:cantSplit/>
        </w:trPr>
        <w:tc>
          <w:tcPr>
            <w:tcW w:w="1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PROJETO DE LEI 109/2017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LDO</w:t>
            </w:r>
          </w:p>
        </w:tc>
        <w:tc>
          <w:tcPr>
            <w:tcW w:w="3501" w:type="pct"/>
            <w:gridSpan w:val="2"/>
          </w:tcPr>
          <w:p w:rsidR="00A90C7D" w:rsidRPr="0061508E" w:rsidRDefault="00A90C7D" w:rsidP="000B20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Suprime a previsão do Regime de Previdência Próprio de Previdência dos Servidores Públicos Municipais</w:t>
            </w:r>
          </w:p>
        </w:tc>
      </w:tr>
      <w:tr w:rsidR="00A90C7D" w:rsidRPr="0061508E" w:rsidTr="000B206C">
        <w:tc>
          <w:tcPr>
            <w:tcW w:w="696" w:type="pct"/>
            <w:tcBorders>
              <w:top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Autoria:</w:t>
            </w:r>
          </w:p>
        </w:tc>
        <w:tc>
          <w:tcPr>
            <w:tcW w:w="4304" w:type="pct"/>
            <w:gridSpan w:val="3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508E">
              <w:rPr>
                <w:rFonts w:ascii="Arial" w:hAnsi="Arial" w:cs="Arial"/>
                <w:sz w:val="24"/>
                <w:szCs w:val="24"/>
              </w:rPr>
              <w:t>Airton Giacomini, Antonio Gilberto Portz, Antônio Manoel Pereira, Paulo Cesar Cornelius e Tiago Delwing Pedroso.</w:t>
            </w:r>
          </w:p>
        </w:tc>
      </w:tr>
      <w:tr w:rsidR="00A90C7D" w:rsidRPr="0061508E" w:rsidTr="000B206C">
        <w:trPr>
          <w:trHeight w:val="7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Justificativa:</w:t>
            </w:r>
          </w:p>
          <w:p w:rsidR="00A90C7D" w:rsidRPr="0061508E" w:rsidRDefault="00A90C7D" w:rsidP="000B206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O Município de Bom Retiro do Sul adota para seus servidores o Regime Geral da Previdência Social (RGPS), portanto, a previsão de Regime Próprio de Previdência dos Servidores Públicos Municipais na Lei de Diretrizes Orçamentárias está equivocada nos termos da legislação do Município.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>Para que tenha previsão na Lei de Diretrizes Orçamentárias e na Lei Orçamentária Anual esta modalidade de Regime Previdenciário deve ser instituída considerando extenso procedimento regulamentar, que inclui ampla participação dos funcionários, levantamentos atuariais, bem como previsões quanto à forma de administração e legislação ordinária específica.</w:t>
            </w:r>
          </w:p>
          <w:p w:rsidR="00A90C7D" w:rsidRPr="0061508E" w:rsidRDefault="00CA7696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11EF9632" wp14:editId="2F61B6C2">
                  <wp:simplePos x="0" y="0"/>
                  <wp:positionH relativeFrom="column">
                    <wp:posOffset>2988310</wp:posOffset>
                  </wp:positionH>
                  <wp:positionV relativeFrom="paragraph">
                    <wp:posOffset>357505</wp:posOffset>
                  </wp:positionV>
                  <wp:extent cx="2016125" cy="726440"/>
                  <wp:effectExtent l="0" t="0" r="317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SS PC 2017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C7D" w:rsidRPr="0061508E">
              <w:rPr>
                <w:rFonts w:ascii="Arial" w:hAnsi="Arial" w:cs="Arial"/>
                <w:sz w:val="24"/>
                <w:szCs w:val="24"/>
              </w:rPr>
              <w:t xml:space="preserve">Razão pela qual faz-se necessária a supressão dos seguintes dispositivos: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508E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0061508E">
              <w:rPr>
                <w:rFonts w:ascii="Arial" w:hAnsi="Arial" w:cs="Arial"/>
                <w:sz w:val="24"/>
                <w:szCs w:val="24"/>
                <w:lang w:val="en-US"/>
              </w:rPr>
              <w:t xml:space="preserve"> VI, Art. 2º; </w:t>
            </w:r>
          </w:p>
          <w:p w:rsidR="00A90C7D" w:rsidRPr="0061508E" w:rsidRDefault="00CA7696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7696" behindDoc="0" locked="0" layoutInCell="1" allowOverlap="1" wp14:anchorId="1EF6A1A8" wp14:editId="76A47F4C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307340</wp:posOffset>
                  </wp:positionV>
                  <wp:extent cx="3227832" cy="804672"/>
                  <wp:effectExtent l="0" t="0" r="0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SS TONINHO 2017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8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C7D" w:rsidRPr="0061508E">
              <w:rPr>
                <w:rFonts w:ascii="Arial" w:hAnsi="Arial" w:cs="Arial"/>
                <w:sz w:val="24"/>
                <w:szCs w:val="24"/>
                <w:lang w:val="en-US"/>
              </w:rPr>
              <w:t xml:space="preserve">§ 3º, Art. 14º; </w:t>
            </w:r>
          </w:p>
          <w:p w:rsidR="00A90C7D" w:rsidRPr="00CA7696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A7696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00CA7696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19;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>Parágrafo Único, Art. 19.</w:t>
            </w:r>
          </w:p>
        </w:tc>
      </w:tr>
    </w:tbl>
    <w:p w:rsidR="00A90C7D" w:rsidRDefault="00CA7696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 wp14:anchorId="7107A684" wp14:editId="4D8BFE2E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2093595" cy="932180"/>
            <wp:effectExtent l="0" t="0" r="1905" b="127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TIAGO 20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C7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 wp14:anchorId="2EFF47F2" wp14:editId="1277D46A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1133856" cy="1106424"/>
            <wp:effectExtent l="0" t="0" r="9525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 GIACOMINI 20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6BE90F31" wp14:editId="66F8C10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15668" cy="932688"/>
            <wp:effectExtent l="0" t="0" r="8890" b="127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BETINHO 201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Pr="0061508E" w:rsidRDefault="00CA7696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81"/>
        <w:gridCol w:w="941"/>
        <w:gridCol w:w="2835"/>
        <w:gridCol w:w="3537"/>
      </w:tblGrid>
      <w:tr w:rsidR="00A90C7D" w:rsidRPr="0061508E" w:rsidTr="000B206C">
        <w:tc>
          <w:tcPr>
            <w:tcW w:w="2918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lastRenderedPageBreak/>
              <w:t>Emenda Modificativa Nº 03</w:t>
            </w:r>
          </w:p>
        </w:tc>
        <w:tc>
          <w:tcPr>
            <w:tcW w:w="2082" w:type="pct"/>
          </w:tcPr>
          <w:p w:rsidR="00A90C7D" w:rsidRPr="0061508E" w:rsidRDefault="00A90C7D" w:rsidP="000B206C">
            <w:pPr>
              <w:pStyle w:val="Ttulo2"/>
              <w:spacing w:before="0" w:after="0"/>
              <w:rPr>
                <w:i w:val="0"/>
                <w:sz w:val="24"/>
                <w:szCs w:val="24"/>
              </w:rPr>
            </w:pPr>
          </w:p>
        </w:tc>
      </w:tr>
      <w:tr w:rsidR="00A90C7D" w:rsidRPr="0061508E" w:rsidTr="000B206C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PROJETO DE LEI 109/2017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LDO</w:t>
            </w:r>
          </w:p>
        </w:tc>
        <w:tc>
          <w:tcPr>
            <w:tcW w:w="3751" w:type="pct"/>
            <w:gridSpan w:val="2"/>
          </w:tcPr>
          <w:p w:rsidR="00A90C7D" w:rsidRPr="0061508E" w:rsidRDefault="00A90C7D" w:rsidP="000B20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Dá nova ao Inciso VI, do Art. 9º, referente a relação de precatórios que acompanha a Lei Orçamentária Anual.</w:t>
            </w:r>
          </w:p>
        </w:tc>
      </w:tr>
      <w:tr w:rsidR="00A90C7D" w:rsidRPr="0061508E" w:rsidTr="000B206C">
        <w:tc>
          <w:tcPr>
            <w:tcW w:w="695" w:type="pct"/>
            <w:tcBorders>
              <w:top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Autoria:</w:t>
            </w:r>
          </w:p>
        </w:tc>
        <w:tc>
          <w:tcPr>
            <w:tcW w:w="4305" w:type="pct"/>
            <w:gridSpan w:val="3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508E">
              <w:rPr>
                <w:rFonts w:ascii="Arial" w:hAnsi="Arial" w:cs="Arial"/>
                <w:sz w:val="24"/>
                <w:szCs w:val="24"/>
              </w:rPr>
              <w:t>Airton Giacomini, Antonio Gilberto Portz, Antônio Manoel Pereira, Paulo Cesar Cornelius e Tiago Delwing Pedroso.</w:t>
            </w:r>
          </w:p>
        </w:tc>
      </w:tr>
      <w:tr w:rsidR="00A90C7D" w:rsidRPr="0061508E" w:rsidTr="000B206C">
        <w:trPr>
          <w:trHeight w:val="7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Justificativa:</w:t>
            </w:r>
          </w:p>
          <w:p w:rsidR="00A90C7D" w:rsidRPr="0061508E" w:rsidRDefault="00A90C7D" w:rsidP="000B206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O Município deve sujeitar-se ao princípio da legalidade orçamentária, impessoalidade e isonomia. Assim, o pagamento de precatórios realizado pela Fazenda Pública se reveste de normas próprias e específicas. Tais normas pretendem garantir o respeito ao orçamento, a continuidade dos serviços públicos e a impessoalidade no pagamento realizado.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>Razão pela qual dá nova redação ao Inciso VI, Art. 9º: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0C7D" w:rsidRPr="00A90C7D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C7D">
              <w:rPr>
                <w:rFonts w:ascii="Arial" w:hAnsi="Arial" w:cs="Arial"/>
                <w:sz w:val="24"/>
                <w:szCs w:val="24"/>
              </w:rPr>
              <w:t>VI - relação dos precatórios a serem cumpridos em 2018 com as dotações para tal fim constantes na proposta orçamentária com a indicação da origem e dos números do processo judicial e do precatório, das datas do trânsito em jugado da sentença e da expedição do precatório, do nome do beneficiário e do valor de cada precatório a ser pago, nos termos do ar</w:t>
            </w:r>
            <w:r>
              <w:rPr>
                <w:rFonts w:ascii="Arial" w:hAnsi="Arial" w:cs="Arial"/>
                <w:sz w:val="24"/>
                <w:szCs w:val="24"/>
              </w:rPr>
              <w:t>t. 100 da Constituição Federal.</w:t>
            </w:r>
          </w:p>
        </w:tc>
      </w:tr>
    </w:tbl>
    <w:p w:rsidR="00A90C7D" w:rsidRDefault="00A90C7D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 wp14:anchorId="727265FD" wp14:editId="29BF8D07">
            <wp:simplePos x="0" y="0"/>
            <wp:positionH relativeFrom="column">
              <wp:posOffset>4095750</wp:posOffset>
            </wp:positionH>
            <wp:positionV relativeFrom="paragraph">
              <wp:posOffset>145415</wp:posOffset>
            </wp:positionV>
            <wp:extent cx="2016125" cy="726440"/>
            <wp:effectExtent l="0" t="0" r="3175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 PC 201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 wp14:anchorId="4896E1A9" wp14:editId="5F5BE330">
            <wp:simplePos x="0" y="0"/>
            <wp:positionH relativeFrom="margin">
              <wp:posOffset>2543175</wp:posOffset>
            </wp:positionH>
            <wp:positionV relativeFrom="paragraph">
              <wp:posOffset>138430</wp:posOffset>
            </wp:positionV>
            <wp:extent cx="1133856" cy="1106424"/>
            <wp:effectExtent l="0" t="0" r="952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 GIACOMINI 20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63279DA0" wp14:editId="01D6E044">
            <wp:simplePos x="0" y="0"/>
            <wp:positionH relativeFrom="column">
              <wp:posOffset>-203835</wp:posOffset>
            </wp:positionH>
            <wp:positionV relativeFrom="paragraph">
              <wp:posOffset>55880</wp:posOffset>
            </wp:positionV>
            <wp:extent cx="1915668" cy="932688"/>
            <wp:effectExtent l="0" t="0" r="8890" b="127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BETINHO 201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A90C7D" w:rsidRDefault="00A90C7D" w:rsidP="00A90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 wp14:anchorId="112037F0" wp14:editId="1C0EBAF2">
            <wp:simplePos x="0" y="0"/>
            <wp:positionH relativeFrom="column">
              <wp:posOffset>4187190</wp:posOffset>
            </wp:positionH>
            <wp:positionV relativeFrom="paragraph">
              <wp:posOffset>9525</wp:posOffset>
            </wp:positionV>
            <wp:extent cx="2093595" cy="932180"/>
            <wp:effectExtent l="0" t="0" r="1905" b="127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TIAGO 20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3F951A5E" wp14:editId="56216A3B">
            <wp:simplePos x="0" y="0"/>
            <wp:positionH relativeFrom="column">
              <wp:posOffset>-584835</wp:posOffset>
            </wp:positionH>
            <wp:positionV relativeFrom="paragraph">
              <wp:posOffset>257175</wp:posOffset>
            </wp:positionV>
            <wp:extent cx="3227832" cy="804672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 TONINHO 201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Pr="0061508E" w:rsidRDefault="00A90C7D" w:rsidP="00A90C7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81"/>
        <w:gridCol w:w="941"/>
        <w:gridCol w:w="2835"/>
        <w:gridCol w:w="3537"/>
      </w:tblGrid>
      <w:tr w:rsidR="00A90C7D" w:rsidRPr="0061508E" w:rsidTr="000B206C">
        <w:tc>
          <w:tcPr>
            <w:tcW w:w="2918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lastRenderedPageBreak/>
              <w:t>Emenda Supressiva nº 04</w:t>
            </w:r>
          </w:p>
        </w:tc>
        <w:tc>
          <w:tcPr>
            <w:tcW w:w="2082" w:type="pct"/>
          </w:tcPr>
          <w:p w:rsidR="00A90C7D" w:rsidRPr="0061508E" w:rsidRDefault="00A90C7D" w:rsidP="000B206C">
            <w:pPr>
              <w:pStyle w:val="Ttulo2"/>
              <w:spacing w:before="0" w:after="0"/>
              <w:rPr>
                <w:i w:val="0"/>
                <w:sz w:val="24"/>
                <w:szCs w:val="24"/>
              </w:rPr>
            </w:pPr>
          </w:p>
        </w:tc>
      </w:tr>
      <w:tr w:rsidR="00A90C7D" w:rsidRPr="0061508E" w:rsidTr="000B206C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PROJETO DE LEI 109/2017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LDO</w:t>
            </w:r>
          </w:p>
        </w:tc>
        <w:tc>
          <w:tcPr>
            <w:tcW w:w="3751" w:type="pct"/>
            <w:gridSpan w:val="2"/>
          </w:tcPr>
          <w:p w:rsidR="00A90C7D" w:rsidRPr="0061508E" w:rsidRDefault="00A90C7D" w:rsidP="000B20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Suprime Inciso II do Art. 51 e Art. 52, referente aos critérios de estimativa de receita a serem utilizados na Lei Orçamentária Anual.</w:t>
            </w:r>
          </w:p>
        </w:tc>
      </w:tr>
      <w:tr w:rsidR="00A90C7D" w:rsidRPr="0061508E" w:rsidTr="000B206C">
        <w:tc>
          <w:tcPr>
            <w:tcW w:w="695" w:type="pct"/>
            <w:tcBorders>
              <w:top w:val="single" w:sz="4" w:space="0" w:color="auto"/>
            </w:tcBorders>
            <w:shd w:val="pct10" w:color="auto" w:fill="auto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>Autoria:</w:t>
            </w:r>
          </w:p>
        </w:tc>
        <w:tc>
          <w:tcPr>
            <w:tcW w:w="4305" w:type="pct"/>
            <w:gridSpan w:val="3"/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508E">
              <w:rPr>
                <w:rFonts w:ascii="Arial" w:hAnsi="Arial" w:cs="Arial"/>
                <w:sz w:val="24"/>
                <w:szCs w:val="24"/>
              </w:rPr>
              <w:t>Airton Giacomini, Antonio Gilberto Portz, Antônio Manoel Pereira, Paulo Cesar Cornelius e Tiago Delwing Pedroso.</w:t>
            </w:r>
          </w:p>
        </w:tc>
      </w:tr>
      <w:tr w:rsidR="00A90C7D" w:rsidRPr="0061508E" w:rsidTr="000B206C">
        <w:trPr>
          <w:trHeight w:val="7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90C7D" w:rsidRPr="0061508E" w:rsidRDefault="00A90C7D" w:rsidP="000B206C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508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Justificativa:</w:t>
            </w:r>
          </w:p>
          <w:p w:rsidR="00A90C7D" w:rsidRPr="0061508E" w:rsidRDefault="00A90C7D" w:rsidP="000B206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>O Município deve sujeitar-se ao princípio da legalidade orçamentária. Assim, na Lei Orçamentária Anual as receitas devem estar estimadas e descriminadas considerando a legislação vigente.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Razão pela qual faz-se necessária a supressão dos seguintes dispositivos: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Inciso II, Art. 51; </w:t>
            </w:r>
          </w:p>
          <w:p w:rsidR="00A90C7D" w:rsidRPr="0061508E" w:rsidRDefault="00A90C7D" w:rsidP="000B20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Art. 52; </w:t>
            </w:r>
          </w:p>
        </w:tc>
      </w:tr>
    </w:tbl>
    <w:p w:rsidR="003F7A6C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0EDDC1" wp14:editId="6A5DFA58">
            <wp:simplePos x="0" y="0"/>
            <wp:positionH relativeFrom="margin">
              <wp:align>center</wp:align>
            </wp:positionH>
            <wp:positionV relativeFrom="paragraph">
              <wp:posOffset>257810</wp:posOffset>
            </wp:positionV>
            <wp:extent cx="1133856" cy="1106424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 GIACOMINI 20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11E39FA" wp14:editId="4FA2F09B">
            <wp:simplePos x="0" y="0"/>
            <wp:positionH relativeFrom="column">
              <wp:posOffset>-813435</wp:posOffset>
            </wp:positionH>
            <wp:positionV relativeFrom="paragraph">
              <wp:posOffset>314960</wp:posOffset>
            </wp:positionV>
            <wp:extent cx="1915668" cy="932688"/>
            <wp:effectExtent l="0" t="0" r="889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BETINHO 201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6C">
        <w:rPr>
          <w:rFonts w:ascii="Arial" w:hAnsi="Arial" w:cs="Arial"/>
          <w:noProof/>
          <w:sz w:val="24"/>
          <w:szCs w:val="24"/>
          <w:lang w:eastAsia="pt-BR"/>
        </w:rPr>
        <w:t xml:space="preserve">  </w:t>
      </w: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E63EA21" wp14:editId="3A19CAE8">
            <wp:simplePos x="0" y="0"/>
            <wp:positionH relativeFrom="column">
              <wp:posOffset>4149090</wp:posOffset>
            </wp:positionH>
            <wp:positionV relativeFrom="paragraph">
              <wp:posOffset>7620</wp:posOffset>
            </wp:positionV>
            <wp:extent cx="2016125" cy="72644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 PC 201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             </w:t>
      </w: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27832" cy="80467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 TONINHO 201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93976" cy="932688"/>
            <wp:effectExtent l="0" t="0" r="1905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TIAGO 20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C7D" w:rsidRDefault="00A90C7D" w:rsidP="003F7A6C">
      <w:pPr>
        <w:ind w:left="-709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sectPr w:rsidR="00A90C7D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10" w:rsidRDefault="004E4C10" w:rsidP="008C505E">
      <w:pPr>
        <w:spacing w:after="0" w:line="240" w:lineRule="auto"/>
      </w:pPr>
      <w:r>
        <w:separator/>
      </w:r>
    </w:p>
  </w:endnote>
  <w:endnote w:type="continuationSeparator" w:id="0">
    <w:p w:rsidR="004E4C10" w:rsidRDefault="004E4C10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10" w:rsidRDefault="004E4C10" w:rsidP="008C505E">
      <w:pPr>
        <w:spacing w:after="0" w:line="240" w:lineRule="auto"/>
      </w:pPr>
      <w:r>
        <w:separator/>
      </w:r>
    </w:p>
  </w:footnote>
  <w:footnote w:type="continuationSeparator" w:id="0">
    <w:p w:rsidR="004E4C10" w:rsidRDefault="004E4C10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9644D05" wp14:editId="67EB685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0DF1C6" wp14:editId="2B01068F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:rsidR="008C505E" w:rsidRPr="008C505E" w:rsidRDefault="004E4C1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:rsidR="008C505E" w:rsidRPr="008C505E" w:rsidRDefault="004E4C10" w:rsidP="008C505E">
    <w:pPr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:rsidR="008C505E" w:rsidRPr="008C505E" w:rsidRDefault="008C505E" w:rsidP="008C505E">
    <w:pPr>
      <w:jc w:val="center"/>
      <w:rPr>
        <w:color w:val="0563C1" w:themeColor="hyperlink"/>
        <w:sz w:val="18"/>
        <w:szCs w:val="18"/>
        <w:u w:val="single"/>
      </w:rPr>
    </w:pPr>
  </w:p>
  <w:p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E"/>
    <w:rsid w:val="003A0567"/>
    <w:rsid w:val="003F7A6C"/>
    <w:rsid w:val="00493081"/>
    <w:rsid w:val="004E4C10"/>
    <w:rsid w:val="008C505E"/>
    <w:rsid w:val="0096281E"/>
    <w:rsid w:val="00A5480B"/>
    <w:rsid w:val="00A90C7D"/>
    <w:rsid w:val="00C5278B"/>
    <w:rsid w:val="00CA7696"/>
    <w:rsid w:val="00F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7D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90C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90C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A90C7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90C7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2017-06-08T17:51:00Z</cp:lastPrinted>
  <dcterms:created xsi:type="dcterms:W3CDTF">2017-11-29T14:48:00Z</dcterms:created>
  <dcterms:modified xsi:type="dcterms:W3CDTF">2017-11-29T14:48:00Z</dcterms:modified>
</cp:coreProperties>
</file>